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Извлечение из Порядка  </w:t>
      </w:r>
      <w:r>
        <w:rPr>
          <w:rFonts w:ascii="Times New Roman" w:hAnsi="Times New Roman"/>
          <w:b/>
          <w:color w:val="000000"/>
          <w:sz w:val="24"/>
          <w:lang w:val="ru-RU"/>
        </w:rPr>
        <w:t xml:space="preserve"> предоставления субсидий из бюджета Уватского муниципального района социально ориентированным некоммерческим организациям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(далее - Порядок)</w:t>
      </w:r>
    </w:p>
    <w:p>
      <w:pPr>
        <w:pStyle w:val="Normal"/>
        <w:ind w:firstLine="567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</w:r>
    </w:p>
    <w:p>
      <w:pPr>
        <w:pStyle w:val="Normal"/>
        <w:ind w:firstLine="567"/>
        <w:rPr/>
      </w:pPr>
      <w:r>
        <w:rPr>
          <w:rFonts w:eastAsia="Times New Roman" w:cs="Arial"/>
          <w:b/>
          <w:bCs/>
          <w:color w:val="000000"/>
          <w:sz w:val="26"/>
          <w:szCs w:val="24"/>
          <w:lang w:val="ru-RU" w:eastAsia="zh-CN" w:bidi="en-US"/>
        </w:rPr>
        <w:t xml:space="preserve">Приоритетным направлением конкурса является </w:t>
      </w:r>
      <w:r>
        <w:rPr>
          <w:rFonts w:ascii="Times New Roman" w:hAnsi="Times New Roman"/>
          <w:b/>
          <w:sz w:val="24"/>
          <w:lang w:val="ru-RU"/>
        </w:rPr>
        <w:t>(раздел 4 п.4.1 Порядка):</w:t>
      </w:r>
    </w:p>
    <w:p>
      <w:pPr>
        <w:pStyle w:val="Normal"/>
        <w:suppressAutoHyphens w:val="false"/>
        <w:spacing w:before="220" w:after="0"/>
        <w:ind w:firstLine="540"/>
        <w:contextualSpacing/>
        <w:rPr/>
      </w:pPr>
      <w:r>
        <w:rPr>
          <w:rFonts w:cs="Arial" w:ascii="Times New Roman" w:hAnsi="Times New Roman"/>
          <w:b w:val="false"/>
          <w:bCs w:val="false"/>
          <w:sz w:val="20"/>
          <w:szCs w:val="20"/>
          <w:lang w:val="ru-RU"/>
        </w:rPr>
        <w:t>С</w:t>
      </w:r>
      <w:r>
        <w:rPr>
          <w:rFonts w:cs="Arial" w:ascii="Times New Roman" w:hAnsi="Times New Roman"/>
          <w:b w:val="false"/>
          <w:bCs w:val="false"/>
          <w:sz w:val="20"/>
          <w:szCs w:val="20"/>
          <w:lang w:val="ru-RU"/>
        </w:rPr>
        <w:t>оциальное обслуживание, социальная поддержка и защита граждан;</w:t>
      </w:r>
    </w:p>
    <w:p>
      <w:pPr>
        <w:pStyle w:val="Normal"/>
        <w:ind w:firstLine="567"/>
        <w:rPr>
          <w:rFonts w:ascii="Times New Roman" w:hAnsi="Times New Roman"/>
          <w:b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</w:r>
    </w:p>
    <w:p>
      <w:pPr>
        <w:pStyle w:val="ConsPlusNormal"/>
        <w:spacing w:before="220" w:after="0"/>
        <w:ind w:left="0" w:right="0" w:hanging="0"/>
        <w:contextualSpacing/>
        <w:jc w:val="left"/>
        <w:rPr/>
      </w:pPr>
      <w:r>
        <w:rPr>
          <w:rFonts w:cs="Arial" w:ascii="Arial" w:hAnsi="Arial"/>
          <w:b/>
          <w:bCs/>
          <w:color w:val="000000"/>
          <w:sz w:val="26"/>
          <w:szCs w:val="24"/>
          <w:lang w:bidi="en-US"/>
        </w:rPr>
        <w:t xml:space="preserve">Требования к Участнику конкурсного отбора  </w:t>
      </w:r>
      <w:r>
        <w:rPr>
          <w:rFonts w:cs="Arial" w:ascii="Times New Roman" w:hAnsi="Times New Roman"/>
          <w:b/>
          <w:bCs/>
          <w:color w:val="000000"/>
          <w:sz w:val="24"/>
          <w:szCs w:val="24"/>
          <w:lang w:val="ru-RU" w:bidi="en-US"/>
        </w:rPr>
        <w:t>(раздел 3, п.3.1 -3.3 Порядка):</w:t>
      </w:r>
    </w:p>
    <w:p>
      <w:pPr>
        <w:pStyle w:val="ConsPlusNormal"/>
        <w:ind w:firstLine="540"/>
        <w:jc w:val="both"/>
        <w:rPr/>
      </w:pPr>
      <w:r>
        <w:rPr>
          <w:rFonts w:cs="Arial" w:ascii="Arial" w:hAnsi="Arial"/>
          <w:sz w:val="20"/>
          <w:szCs w:val="20"/>
          <w:lang w:bidi="en-US"/>
        </w:rPr>
        <w:t>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Уватского муниципального района в соответствии со</w:t>
      </w:r>
      <w:r>
        <w:rPr>
          <w:rFonts w:cs="Arial" w:ascii="Arial" w:hAnsi="Arial"/>
          <w:color w:val="000000"/>
          <w:sz w:val="20"/>
          <w:szCs w:val="20"/>
          <w:lang w:bidi="en-US"/>
        </w:rPr>
        <w:t xml:space="preserve"> своими учредительными документами виды деятельности, предусмотренные пунктом  1 </w:t>
      </w:r>
      <w:hyperlink r:id="rId2">
        <w:r>
          <w:rPr>
            <w:rStyle w:val="Style16"/>
            <w:rFonts w:cs="Arial" w:ascii="Arial" w:hAnsi="Arial"/>
            <w:color w:val="000000"/>
            <w:sz w:val="20"/>
            <w:szCs w:val="20"/>
            <w:lang w:bidi="en-US"/>
          </w:rPr>
          <w:t xml:space="preserve">статьи 31.1 </w:t>
        </w:r>
      </w:hyperlink>
      <w:r>
        <w:rPr>
          <w:rFonts w:cs="Arial" w:ascii="Arial" w:hAnsi="Arial"/>
          <w:color w:val="000000"/>
          <w:sz w:val="20"/>
          <w:szCs w:val="20"/>
          <w:lang w:bidi="en-US"/>
        </w:rPr>
        <w:t>Федерального закона «О некоммерческих организациях».</w:t>
      </w:r>
    </w:p>
    <w:p>
      <w:pPr>
        <w:pStyle w:val="ConsPlus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220" w:after="0"/>
        <w:ind w:left="0" w:right="0" w:firstLine="624"/>
        <w:contextualSpacing/>
        <w:jc w:val="both"/>
        <w:textAlignment w:val="baseline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участник конкурса – юридическое  лицо не должно находиться в процессе реорганизации (за исключением реорганизации в форме присоединения к юридическому лицу, являющемуся участником конкурса другого юридического лица), ликвидации, в отношении его не введена процедура банкротства, деятельность участника не приостановлена в порядке, предусмотренном законодательством Российской Федерации;</w:t>
      </w:r>
    </w:p>
    <w:p>
      <w:pPr>
        <w:pStyle w:val="ConsPlus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220" w:after="0"/>
        <w:ind w:left="0" w:right="0" w:firstLine="624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 исполняющем функции единоличного исполнительного органа, или главного бухгалтера участника конкурса, являющегося юридическим лицом;</w:t>
      </w:r>
    </w:p>
    <w:p>
      <w:pPr>
        <w:pStyle w:val="ConsPlus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220" w:after="0"/>
        <w:ind w:left="0" w:right="0" w:firstLine="624"/>
        <w:contextualSpacing/>
        <w:jc w:val="both"/>
        <w:textAlignment w:val="baseline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участник конкурса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ConsPlus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220" w:after="0"/>
        <w:ind w:left="0" w:right="0" w:firstLine="624"/>
        <w:contextualSpacing/>
        <w:jc w:val="both"/>
        <w:textAlignment w:val="baseline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 xml:space="preserve">участник конкурса не должен получать средства из бюджета Уватского муниципального района в соответствии с иными муниципальными правовыми актами Уватского  муниципального района на цели, установленные в п. 1.4  настоящего Порядка. </w:t>
      </w:r>
    </w:p>
    <w:p>
      <w:pPr>
        <w:pStyle w:val="ConsPlus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220" w:after="0"/>
        <w:ind w:left="0" w:right="0" w:firstLine="624"/>
        <w:contextualSpacing/>
        <w:jc w:val="both"/>
        <w:textAlignment w:val="baseline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у участника конкурса отсутствует неисполненная 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ConsPlus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220" w:after="0"/>
        <w:ind w:left="0" w:right="0" w:firstLine="624"/>
        <w:contextualSpacing/>
        <w:jc w:val="both"/>
        <w:textAlignment w:val="baseline"/>
        <w:rPr>
          <w:rFonts w:ascii="Arial" w:hAnsi="Arial"/>
          <w:color w:val="000000"/>
          <w:sz w:val="20"/>
          <w:szCs w:val="20"/>
          <w:lang w:val="ru-RU"/>
        </w:rPr>
      </w:pPr>
      <w:r>
        <w:rPr>
          <w:rFonts w:cs="Arial" w:ascii="Arial" w:hAnsi="Arial"/>
          <w:color w:val="000000"/>
          <w:sz w:val="20"/>
          <w:szCs w:val="20"/>
          <w:lang w:val="ru-RU" w:bidi="en-US"/>
        </w:rPr>
        <w:t>у участника конкурса отсутствует просроченная  задолженность перед бюджетом Уватского муниципального района по возврату неиспользованного остатка субсидии, а также иная просроченная (неурегулированная) задолженность по денежным обязательствам перед бюджетом Уватского муниципального района.</w:t>
      </w:r>
    </w:p>
    <w:p>
      <w:pPr>
        <w:pStyle w:val="Normal"/>
        <w:spacing w:before="0" w:after="0"/>
        <w:ind w:left="0" w:right="0" w:firstLine="540"/>
        <w:contextualSpacing/>
        <w:jc w:val="both"/>
        <w:rPr>
          <w:rFonts w:ascii="Arial" w:hAnsi="Arial" w:cs="Arial"/>
          <w:sz w:val="26"/>
          <w:szCs w:val="24"/>
          <w:lang w:bidi="en-US"/>
        </w:rPr>
      </w:pPr>
      <w:r>
        <w:rPr>
          <w:rFonts w:cs="Arial"/>
          <w:sz w:val="26"/>
          <w:szCs w:val="24"/>
          <w:lang w:bidi="en-US"/>
        </w:rPr>
      </w:r>
    </w:p>
    <w:p>
      <w:pPr>
        <w:pStyle w:val="ConsPlusNormal"/>
        <w:spacing w:before="220" w:after="0"/>
        <w:ind w:firstLine="540"/>
        <w:jc w:val="both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bidi="en-US"/>
        </w:rPr>
        <w:t>Участниками конк</w:t>
      </w:r>
      <w:r>
        <w:rPr>
          <w:rFonts w:cs="Arial" w:ascii="Arial" w:hAnsi="Arial"/>
          <w:sz w:val="20"/>
          <w:szCs w:val="20"/>
          <w:lang w:bidi="en-US"/>
        </w:rPr>
        <w:t>урса не могут быть:</w:t>
      </w:r>
    </w:p>
    <w:p>
      <w:pPr>
        <w:pStyle w:val="ConsPlusNormal"/>
        <w:spacing w:before="220" w:after="0"/>
        <w:ind w:firstLine="539"/>
        <w:contextualSpacing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  <w:lang w:bidi="en-US"/>
        </w:rPr>
        <w:t xml:space="preserve">а)физические лица; </w:t>
      </w:r>
    </w:p>
    <w:p>
      <w:pPr>
        <w:pStyle w:val="ConsPlusNormal"/>
        <w:spacing w:before="220" w:after="0"/>
        <w:ind w:firstLine="539"/>
        <w:contextualSpacing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  <w:lang w:bidi="en-US"/>
        </w:rPr>
        <w:t>б)коммерческие организации;</w:t>
      </w:r>
    </w:p>
    <w:p>
      <w:pPr>
        <w:pStyle w:val="ConsPlusNormal"/>
        <w:spacing w:before="220" w:after="0"/>
        <w:ind w:firstLine="539"/>
        <w:contextualSpacing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  <w:lang w:bidi="en-US"/>
        </w:rPr>
        <w:t>в)государственные корпорации;</w:t>
      </w:r>
    </w:p>
    <w:p>
      <w:pPr>
        <w:pStyle w:val="ConsPlusNormal"/>
        <w:spacing w:before="220" w:after="0"/>
        <w:ind w:firstLine="539"/>
        <w:contextualSpacing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  <w:lang w:bidi="en-US"/>
        </w:rPr>
        <w:t>г)государственные компании;</w:t>
      </w:r>
    </w:p>
    <w:p>
      <w:pPr>
        <w:pStyle w:val="ConsPlusNormal"/>
        <w:spacing w:before="220" w:after="0"/>
        <w:ind w:firstLine="539"/>
        <w:contextualSpacing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  <w:lang w:bidi="en-US"/>
        </w:rPr>
        <w:t>д)политические партии;</w:t>
      </w:r>
    </w:p>
    <w:p>
      <w:pPr>
        <w:pStyle w:val="ConsPlusNormal"/>
        <w:spacing w:before="220" w:after="0"/>
        <w:ind w:firstLine="539"/>
        <w:contextualSpacing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  <w:lang w:bidi="en-US"/>
        </w:rPr>
        <w:t xml:space="preserve">е)государственные учреждения; </w:t>
      </w:r>
    </w:p>
    <w:p>
      <w:pPr>
        <w:pStyle w:val="ConsPlusNormal"/>
        <w:spacing w:before="220" w:after="0"/>
        <w:ind w:firstLine="539"/>
        <w:contextualSpacing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  <w:lang w:bidi="en-US"/>
        </w:rPr>
        <w:t>ж)муниципальные учреждения;</w:t>
      </w:r>
    </w:p>
    <w:p>
      <w:pPr>
        <w:pStyle w:val="ConsPlusNormal"/>
        <w:spacing w:before="220" w:after="0"/>
        <w:ind w:firstLine="539"/>
        <w:contextualSpacing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  <w:lang w:bidi="en-US"/>
        </w:rPr>
        <w:t xml:space="preserve">з)общественные объединения, не являющиеся юридическими лицами; </w:t>
      </w:r>
    </w:p>
    <w:p>
      <w:pPr>
        <w:pStyle w:val="ConsPlusNormal"/>
        <w:spacing w:before="220" w:after="0"/>
        <w:ind w:firstLine="539"/>
        <w:contextualSpacing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  <w:lang w:bidi="en-US"/>
        </w:rPr>
        <w:t xml:space="preserve">и)некоммерческие организации, представители которых являются членами конкурсной комиссии; </w:t>
      </w:r>
    </w:p>
    <w:p>
      <w:pPr>
        <w:pStyle w:val="ConsPlusNormal"/>
        <w:spacing w:before="220" w:after="0"/>
        <w:ind w:firstLine="539"/>
        <w:contextualSpacing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к)специализированные организации.</w:t>
      </w:r>
    </w:p>
    <w:p>
      <w:pPr>
        <w:pStyle w:val="Normal"/>
        <w:spacing w:before="0" w:after="0"/>
        <w:ind w:left="0" w:right="0" w:firstLine="540"/>
        <w:contextualSpacing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0" w:right="0" w:firstLine="540"/>
        <w:contextualSpacing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0" w:right="0" w:firstLine="540"/>
        <w:contextualSpacing/>
        <w:jc w:val="both"/>
        <w:rPr/>
      </w:pPr>
      <w:r>
        <w:rPr>
          <w:rFonts w:cs="Arial"/>
          <w:b/>
          <w:bCs/>
          <w:sz w:val="26"/>
          <w:szCs w:val="24"/>
          <w:lang w:val="ru-RU" w:bidi="en-US"/>
        </w:rPr>
        <w:t>Перечень документов</w:t>
      </w:r>
      <w:r>
        <w:rPr>
          <w:rFonts w:cs="Arial"/>
          <w:b/>
          <w:bCs/>
          <w:color w:val="000000"/>
          <w:sz w:val="26"/>
          <w:szCs w:val="24"/>
          <w:lang w:val="ru-RU" w:bidi="en-US"/>
        </w:rPr>
        <w:t xml:space="preserve"> </w:t>
      </w:r>
      <w:r>
        <w:rPr>
          <w:rFonts w:cs="Arial" w:ascii="Times New Roman" w:hAnsi="Times New Roman"/>
          <w:b/>
          <w:bCs/>
          <w:color w:val="000000"/>
          <w:sz w:val="24"/>
          <w:szCs w:val="24"/>
          <w:lang w:val="ru-RU" w:bidi="en-US"/>
        </w:rPr>
        <w:t>(раздел 6, п.6.1 Порядка)</w:t>
      </w:r>
      <w:r>
        <w:rPr>
          <w:rFonts w:cs="Arial"/>
          <w:b/>
          <w:bCs/>
          <w:color w:val="000000"/>
          <w:sz w:val="26"/>
          <w:szCs w:val="24"/>
          <w:lang w:val="ru-RU" w:bidi="en-US"/>
        </w:rPr>
        <w:t>:</w:t>
      </w:r>
    </w:p>
    <w:p>
      <w:pPr>
        <w:pStyle w:val="ConsPlusNormal"/>
        <w:spacing w:before="220" w:after="0"/>
        <w:ind w:left="0" w:right="0" w:firstLine="540"/>
        <w:contextualSpacing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а) </w:t>
      </w:r>
      <w:hyperlink w:anchor="P337">
        <w:r>
          <w:rPr>
            <w:rStyle w:val="Style16"/>
            <w:rFonts w:cs="Arial" w:ascii="Arial" w:hAnsi="Arial"/>
            <w:color w:val="000000"/>
            <w:sz w:val="20"/>
            <w:szCs w:val="20"/>
            <w:u w:val="none"/>
            <w:lang w:bidi="en-US"/>
          </w:rPr>
          <w:t>заявление</w:t>
        </w:r>
      </w:hyperlink>
      <w:r>
        <w:rPr>
          <w:rFonts w:cs="Arial" w:ascii="Arial" w:hAnsi="Arial"/>
          <w:color w:val="000000"/>
          <w:sz w:val="20"/>
          <w:szCs w:val="20"/>
          <w:lang w:bidi="en-US"/>
        </w:rPr>
        <w:t xml:space="preserve"> на участие в конкурсе по форме  согласно приложению №1 к настоящему Порядку;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б) программу (проект) по форме согласно приложению №2 к настоящему Порядку;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в) смету расходов на реализацию программы (проекта), с учетом того, что средства субсидии не могут быть использованы в целях:</w:t>
      </w:r>
    </w:p>
    <w:p>
      <w:pPr>
        <w:pStyle w:val="ConsPlusNormal"/>
        <w:spacing w:before="220" w:after="0"/>
        <w:ind w:left="0" w:right="0" w:firstLine="540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-оказания материальной помощи, а также платных услуг населению;</w:t>
      </w:r>
    </w:p>
    <w:p>
      <w:pPr>
        <w:pStyle w:val="ConsPlusNormal"/>
        <w:spacing w:before="220" w:after="0"/>
        <w:ind w:left="0" w:right="0" w:firstLine="540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-проведения митингов, демонстраций, пикетирования;</w:t>
      </w:r>
    </w:p>
    <w:p>
      <w:pPr>
        <w:pStyle w:val="ConsPlusNormal"/>
        <w:spacing w:before="220" w:after="0"/>
        <w:ind w:left="0" w:right="0" w:firstLine="540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-реализации мероприятий, предполагающих извлечение прибыли.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г) копию учредительных документов заявителя;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д) документ, подтверждающий полномочия лица на осуществление действий от имени заявителя (протокол решения об избрании руководителя, приказ о назначении руководителя);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е) копию отчетности, представленной заявителем в Министерство юстиции Российской Федерации (его территориальный орган) за предыдущий отчетный год (при условии, что СО НКО зарегистрировано в установленном законом порядке более одного календарного года);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 xml:space="preserve">ж) документ, подтверждающий  отсутствие просроченной задолженности по уплате налогов, сборов, страховых взносов, пеней и налоговых санкций на дату не ранее 30 календарных дней до дня подачи заявки, заверенный печатью Федеральной налоговой службы или  с использованием электронно-цифровой подписи; 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eastAsia="Arial" w:cs="Arial"/>
          <w:color w:val="000000"/>
          <w:sz w:val="20"/>
          <w:szCs w:val="20"/>
          <w:lang w:bidi="en-US"/>
        </w:rPr>
      </w:pPr>
      <w:r>
        <w:rPr>
          <w:rFonts w:eastAsia="Arial" w:cs="Arial" w:ascii="Arial" w:hAnsi="Arial"/>
          <w:color w:val="000000"/>
          <w:sz w:val="20"/>
          <w:szCs w:val="20"/>
          <w:lang w:bidi="en-US"/>
        </w:rPr>
        <w:t>з) выписку из Единого государственного реестра юридических лиц со сведениями о заявителе, выданную не ранее чем за два месяца до окончания срока приема заявок на участие в конкурсе;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  <w:lang w:bidi="en-US"/>
        </w:rPr>
        <w:t>и)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  <w:lang w:bidi="en-US"/>
        </w:rPr>
        <w:t>справку, подтверждающую отсутствие просроченной задолженности по возврату в бюджет Уватского муниципального района субсидий, бюджетных инвестиций, предоставленных, в том числе с иными  муниципальными правовыми актами Уватского муниципального района, и иной просроченной (неурегулированной) задолженности перед бюджетом Уватского муниципального района, подписанную руководителем и главным бухгалтером организации, на дату подачи заявки.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Документы, указанные в подпунктах «а» - «ж», «и» настоящего пункта, являются обязательными для представления претендентом.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Документ, указанный в подпункте «з» настоящего пункта, может представлен по желанию претендента. В случае непредставления указанного документа Уполномоченный орган в течение трех рабочих дней со дня регистрации заявки запрашивает у соответствующих органов необходимую информацию посредством автоматизированной системы межведомственного электронного взаимодействия (СМЭВ).</w:t>
      </w:r>
    </w:p>
    <w:p>
      <w:pPr>
        <w:pStyle w:val="ConsPlusNormal"/>
        <w:spacing w:before="0" w:after="0"/>
        <w:ind w:left="0" w:right="0" w:firstLine="540"/>
        <w:contextualSpacing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Документы, указанные в настоящем пункте, представляются на бумажном носителе или в виде отсканированных документов (сканирование осуществляется с оригиналов соответствующих документов).</w:t>
      </w:r>
    </w:p>
    <w:p>
      <w:pPr>
        <w:pStyle w:val="ConsPlusNormal"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 xml:space="preserve">Некоммерческая организация несет ответственность за достоверность документов, представленных на получение субсидии, в соответствии с действующим законодательством Российской Федерации. </w:t>
      </w:r>
    </w:p>
    <w:p>
      <w:pPr>
        <w:pStyle w:val="ConsPlusNormal"/>
        <w:spacing w:before="220" w:after="0"/>
        <w:ind w:left="0" w:right="0" w:firstLine="540"/>
        <w:contextualSpacing/>
        <w:jc w:val="left"/>
        <w:rPr/>
      </w:pPr>
      <w:r>
        <w:rPr>
          <w:rFonts w:cs="Arial" w:ascii="Arial" w:hAnsi="Arial"/>
          <w:b/>
          <w:bCs/>
          <w:sz w:val="26"/>
          <w:szCs w:val="24"/>
          <w:lang w:bidi="en-US"/>
        </w:rPr>
        <w:t xml:space="preserve">Порядок отзыва заявок и внесение изменений в заявки участников конкурса </w:t>
      </w:r>
      <w:bookmarkStart w:id="0" w:name="__DdeLink__155604_1305579567"/>
      <w:r>
        <w:rPr>
          <w:rFonts w:cs="Arial" w:ascii="Times New Roman" w:hAnsi="Times New Roman"/>
          <w:b/>
          <w:bCs/>
          <w:color w:val="000000"/>
          <w:sz w:val="24"/>
          <w:szCs w:val="24"/>
          <w:lang w:val="ru-RU" w:bidi="en-US"/>
        </w:rPr>
        <w:t>(раздел 5, п.5.6- 5.7.Порядка)</w:t>
      </w:r>
      <w:bookmarkEnd w:id="0"/>
      <w:r>
        <w:rPr>
          <w:rFonts w:cs="Arial" w:ascii="Arial" w:hAnsi="Arial"/>
          <w:b/>
          <w:bCs/>
          <w:color w:val="000000"/>
          <w:sz w:val="26"/>
          <w:szCs w:val="24"/>
          <w:lang w:val="ru-RU" w:bidi="en-US"/>
        </w:rPr>
        <w:t>:</w:t>
      </w:r>
    </w:p>
    <w:p>
      <w:pPr>
        <w:pStyle w:val="ConsPlusNormal"/>
        <w:spacing w:before="220" w:after="0"/>
        <w:ind w:left="0" w:right="0" w:firstLine="540"/>
        <w:contextualSpacing/>
        <w:jc w:val="center"/>
        <w:rPr>
          <w:rFonts w:ascii="Arial" w:hAnsi="Arial" w:cs="Arial"/>
          <w:sz w:val="26"/>
          <w:szCs w:val="24"/>
          <w:lang w:bidi="en-US"/>
        </w:rPr>
      </w:pPr>
      <w:r>
        <w:rPr>
          <w:rFonts w:cs="Arial" w:ascii="Arial" w:hAnsi="Arial"/>
          <w:sz w:val="26"/>
          <w:szCs w:val="24"/>
          <w:lang w:bidi="en-US"/>
        </w:rPr>
      </w:r>
    </w:p>
    <w:p>
      <w:pPr>
        <w:pStyle w:val="ConsPlusNormal"/>
        <w:spacing w:before="220" w:after="0"/>
        <w:ind w:left="0" w:right="0" w:firstLine="540"/>
        <w:contextualSpacing/>
        <w:jc w:val="both"/>
        <w:rPr/>
      </w:pPr>
      <w:r>
        <w:rPr>
          <w:rFonts w:cs="Arial" w:ascii="Arial" w:hAnsi="Arial"/>
          <w:color w:val="000000"/>
          <w:sz w:val="20"/>
          <w:szCs w:val="20"/>
          <w:lang w:bidi="en-US"/>
        </w:rPr>
        <w:t>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 НКО. Отозванные заявки не учитываются при определении количества заявок, представленных на участие в конкурсе.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комиссии.</w:t>
      </w:r>
    </w:p>
    <w:p>
      <w:pPr>
        <w:pStyle w:val="ConsPlusNormal"/>
        <w:spacing w:before="220" w:after="0"/>
        <w:ind w:left="0" w:right="0" w:firstLine="540"/>
        <w:contextualSpacing/>
        <w:jc w:val="both"/>
        <w:rPr/>
      </w:pPr>
      <w:r>
        <w:rPr>
          <w:rFonts w:cs="Arial" w:ascii="Arial" w:hAnsi="Arial"/>
          <w:color w:val="000000"/>
          <w:sz w:val="20"/>
          <w:szCs w:val="20"/>
          <w:lang w:bidi="en-US"/>
        </w:rPr>
        <w:t>Поданные на участие в конкурсе заявки в течение 10 рабочих дней со дня окончания приема заявок проверяются Уполномоченным органом на соответствие требованиям, установленным настоящим Порядком.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cs="Arial" w:ascii="Arial" w:hAnsi="Arial"/>
          <w:color w:val="000000"/>
          <w:sz w:val="20"/>
          <w:szCs w:val="20"/>
          <w:lang w:bidi="en-US"/>
        </w:rPr>
        <w:t>В срок не позднее 12 рабочих дней со дня окончания приема заявок Уполномоченный орган утверждает список заявителей, не допущенных к участию в конкурсе, и уведомляет об этом заявителей с указанием причин, послуживших основанием недопуска к участию в конкурсе.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 w:bidi="ar-SA"/>
        </w:rPr>
        <w:t>Уведомление о недопуске к участию в конкурсе направляется в течение двух рабочих дней со дня утверждения списка заявителей, не допущенных к участию в конкурсе, на почтовый и/или электронный адреса, указанные в заявке, с указанием оснований для принятия такого решения.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</w:r>
    </w:p>
    <w:p>
      <w:pPr>
        <w:pStyle w:val="ConsPlusNormal"/>
        <w:spacing w:before="220" w:after="0"/>
        <w:ind w:left="0" w:right="0" w:firstLine="540"/>
        <w:contextualSpacing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6"/>
          <w:szCs w:val="24"/>
          <w:lang w:eastAsia="ru-RU" w:bidi="ar-SA"/>
        </w:rPr>
        <w:t xml:space="preserve">Порядок предоставления разъяснений </w:t>
      </w:r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ru-RU" w:eastAsia="ru-RU" w:bidi="en-US"/>
        </w:rPr>
        <w:t>(раздел 5, п.5.4.Порядка)</w:t>
      </w:r>
      <w:r>
        <w:rPr>
          <w:rFonts w:eastAsia="Times New Roman" w:cs="Arial" w:ascii="Arial" w:hAnsi="Arial"/>
          <w:b/>
          <w:bCs/>
          <w:color w:val="000000"/>
          <w:sz w:val="26"/>
          <w:szCs w:val="24"/>
          <w:lang w:val="ru-RU" w:eastAsia="ru-RU" w:bidi="en-US"/>
        </w:rPr>
        <w:t>: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ascii="Arial" w:hAnsi="Arial" w:cs="Arial"/>
          <w:color w:val="000000"/>
          <w:sz w:val="20"/>
          <w:szCs w:val="20"/>
          <w:lang w:bidi="en-US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 w:bidi="ar-SA"/>
        </w:rPr>
        <w:t>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конкурсе.</w:t>
      </w:r>
    </w:p>
    <w:p>
      <w:pPr>
        <w:pStyle w:val="ConsPlusNormal"/>
        <w:spacing w:before="220" w:after="0"/>
        <w:ind w:left="0" w:right="0" w:firstLine="540"/>
        <w:contextualSpacing/>
        <w:jc w:val="both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</w:r>
    </w:p>
    <w:p>
      <w:pPr>
        <w:pStyle w:val="Normal"/>
        <w:ind w:firstLine="567"/>
        <w:rPr>
          <w:rFonts w:ascii="Arial" w:hAnsi="Arial" w:eastAsia="Times New Roman" w:cs="Arial"/>
          <w:b/>
          <w:b/>
          <w:bCs/>
          <w:color w:val="000000"/>
          <w:sz w:val="26"/>
          <w:szCs w:val="24"/>
          <w:lang w:val="ru-RU" w:eastAsia="ru-RU" w:bidi="ar-SA"/>
        </w:rPr>
      </w:pPr>
      <w:r>
        <w:rPr>
          <w:rFonts w:eastAsia="Times New Roman" w:cs="Arial"/>
          <w:b/>
          <w:bCs/>
          <w:color w:val="000000"/>
          <w:sz w:val="26"/>
          <w:szCs w:val="24"/>
          <w:lang w:val="ru-RU" w:eastAsia="ru-RU" w:bidi="ar-SA"/>
        </w:rPr>
        <w:t xml:space="preserve">Конкурсная комиссия рассматривает поступившие заявки и осуществляет оценку программ (проектов) по следующим группам критериев </w:t>
      </w:r>
      <w:bookmarkStart w:id="1" w:name="__DdeLink__155487_1305579567"/>
      <w:bookmarkEnd w:id="1"/>
      <w:r>
        <w:rPr>
          <w:rFonts w:eastAsia="Times New Roman" w:cs="Arial" w:ascii="Times New Roman" w:hAnsi="Times New Roman"/>
          <w:b/>
          <w:bCs/>
          <w:color w:val="000000"/>
          <w:sz w:val="24"/>
          <w:szCs w:val="24"/>
          <w:lang w:val="ru-RU" w:eastAsia="ru-RU" w:bidi="en-US"/>
        </w:rPr>
        <w:t>(раздел 7, п.7.1 Порядка)</w:t>
      </w:r>
      <w:r>
        <w:rPr>
          <w:rFonts w:eastAsia="Times New Roman" w:cs="Arial"/>
          <w:b/>
          <w:bCs/>
          <w:color w:val="000000"/>
          <w:sz w:val="26"/>
          <w:szCs w:val="24"/>
          <w:lang w:val="ru-RU" w:eastAsia="ru-RU" w:bidi="ar-SA"/>
        </w:rPr>
        <w:t>:</w:t>
      </w:r>
    </w:p>
    <w:p>
      <w:pPr>
        <w:pStyle w:val="Normal"/>
        <w:ind w:firstLine="567"/>
        <w:rPr>
          <w:rFonts w:ascii="Times New Roman" w:hAnsi="Times New Roman"/>
          <w:b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</w:r>
    </w:p>
    <w:p>
      <w:pPr>
        <w:pStyle w:val="Normal"/>
        <w:ind w:firstLine="567"/>
        <w:rPr>
          <w:rFonts w:ascii="Times New Roman" w:hAnsi="Times New Roman"/>
          <w:b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</w:r>
    </w:p>
    <w:tbl>
      <w:tblPr>
        <w:tblW w:w="9168" w:type="dxa"/>
        <w:jc w:val="left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3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59"/>
        <w:gridCol w:w="8708"/>
      </w:tblGrid>
      <w:tr>
        <w:trPr/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7" w:type="dxa"/>
            </w:tcMar>
            <w:vAlign w:val="center"/>
          </w:tcPr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rFonts w:eastAsia="Times New Roman" w:cs="Arial"/>
                <w:sz w:val="20"/>
                <w:szCs w:val="20"/>
                <w:lang w:bidi="en-US"/>
              </w:rPr>
              <w:t>К критериям значимости и актуальности программы (проекта) относятся следующие показатели оценки: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bidi="en-US"/>
              </w:rPr>
              <w:t>а) соответствие программы (проекта) видам деятельности, предусмотренным приоритетным направлением конкурса;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  <w:lang w:bidi="en-US"/>
              </w:rPr>
              <w:t>б) значимость, актуальность и реалистичность конкретных задач, на решение которых направлена программа (проект);</w:t>
            </w:r>
          </w:p>
        </w:tc>
      </w:tr>
      <w:tr>
        <w:trPr/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7" w:type="dxa"/>
            </w:tcMar>
            <w:vAlign w:val="center"/>
          </w:tcPr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rFonts w:eastAsia="Times New Roman" w:cs="Arial"/>
                <w:color w:val="00000A"/>
                <w:sz w:val="20"/>
                <w:szCs w:val="20"/>
                <w:lang w:val="ru-RU" w:eastAsia="zh-CN" w:bidi="en-US"/>
              </w:rPr>
              <w:t>К критериям экономической эффективности относятся следующие показатели оценки: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а) логичность мероприятий  программы (проекта) последовательность и взаимосвязь мероприятий;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б) обоснованность расходов на реализацию программы (проекта);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в) наличие предполагаемых поступлений на реализацию программы (проекта)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</w:t>
            </w:r>
          </w:p>
        </w:tc>
      </w:tr>
      <w:tr>
        <w:trPr/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Arial" w:ascii="Arial" w:hAnsi="Arial"/>
              </w:rPr>
              <w:t>3.</w:t>
            </w: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7" w:type="dxa"/>
            </w:tcMar>
            <w:vAlign w:val="center"/>
          </w:tcPr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rFonts w:eastAsia="Times New Roman" w:cs="Arial"/>
                <w:color w:val="00000A"/>
                <w:sz w:val="20"/>
                <w:szCs w:val="20"/>
                <w:lang w:val="ru-RU" w:eastAsia="zh-CN" w:bidi="en-US"/>
              </w:rPr>
              <w:t>К критериям социальной эффективности относятся следующие показатели оценки: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а) степань влияния мероприятий программы на улучшение состояние целевой группы;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б) соответствие ожидаемых результатов реализации программы (проекта) запланированным мероприятиям.</w:t>
            </w:r>
          </w:p>
          <w:p>
            <w:pPr>
              <w:pStyle w:val="ConsPlusNormal"/>
              <w:ind w:left="0" w:right="0" w:firstLine="540"/>
              <w:jc w:val="both"/>
              <w:rPr>
                <w:rFonts w:ascii="Arial" w:hAnsi="Arial" w:eastAsia="Times New Roman" w:cs="Arial"/>
                <w:color w:val="00000A"/>
                <w:sz w:val="20"/>
                <w:szCs w:val="20"/>
                <w:lang w:val="ru-RU" w:eastAsia="zh-CN" w:bidi="en-US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37" w:type="dxa"/>
            </w:tcMar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Arial" w:ascii="Arial" w:hAnsi="Arial"/>
              </w:rPr>
              <w:t>4.</w:t>
            </w:r>
          </w:p>
        </w:tc>
        <w:tc>
          <w:tcPr>
            <w:tcW w:w="8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7" w:type="dxa"/>
            </w:tcMar>
            <w:vAlign w:val="center"/>
          </w:tcPr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rFonts w:eastAsia="Times New Roman" w:cs="Arial"/>
                <w:color w:val="00000A"/>
                <w:sz w:val="20"/>
                <w:szCs w:val="20"/>
                <w:lang w:val="ru-RU" w:eastAsia="zh-CN" w:bidi="en-US"/>
              </w:rPr>
              <w:t>К критериям профессиональной компетенции относятся следующие показатели оценки: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а) наличие у участника конкурса опыта использования целевых поступлений;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б)наличие у участника конкурса партнерских отношений с юридическими лицами (независимо от организационно-правовой формы), индивидуальными предпринимателями, физическими лицами;</w:t>
            </w:r>
          </w:p>
          <w:p>
            <w:pPr>
              <w:pStyle w:val="ConsPlusNormal"/>
              <w:ind w:left="0" w:right="0" w:firstLine="540"/>
              <w:jc w:val="both"/>
              <w:rPr/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ru-RU" w:eastAsia="zh-CN" w:bidi="en-US"/>
              </w:rPr>
              <w:t>в)наличие информации о деятельности участника конкурса в информационно-телекоммуникационной сети Интернет, средствах массовой информации</w:t>
            </w:r>
          </w:p>
        </w:tc>
      </w:tr>
    </w:tbl>
    <w:p>
      <w:pPr>
        <w:pStyle w:val="Normal"/>
        <w:ind w:firstLine="567"/>
        <w:rPr>
          <w:rFonts w:ascii="Times New Roman" w:hAnsi="Times New Roman"/>
          <w:b/>
          <w:b/>
          <w:bCs/>
          <w:sz w:val="24"/>
          <w:lang w:val="ru-RU"/>
        </w:rPr>
      </w:pPr>
      <w:r>
        <w:rPr>
          <w:rFonts w:ascii="Times New Roman" w:hAnsi="Times New Roman"/>
          <w:b/>
          <w:bCs/>
          <w:sz w:val="24"/>
          <w:lang w:val="ru-RU"/>
        </w:rPr>
      </w:r>
    </w:p>
    <w:p>
      <w:pPr>
        <w:pStyle w:val="ConsPlusNormal"/>
        <w:ind w:firstLine="540"/>
        <w:jc w:val="both"/>
        <w:rPr/>
      </w:pPr>
      <w:r>
        <w:rPr>
          <w:rFonts w:cs="Arial" w:ascii="Arial" w:hAnsi="Arial"/>
        </w:rPr>
        <w:t>Примечание:</w:t>
      </w:r>
    </w:p>
    <w:p>
      <w:pPr>
        <w:pStyle w:val="ConsPlusNormal"/>
        <w:ind w:left="0" w:right="0" w:firstLine="5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Для оценки программы (проекта) к каждому показателю оценки, входящему в критерий оценки, применяется 2-балльная шкала, где учитываются:</w:t>
      </w:r>
    </w:p>
    <w:p>
      <w:pPr>
        <w:pStyle w:val="ConsPlusNormal"/>
        <w:spacing w:before="220" w:after="0"/>
        <w:ind w:left="0" w:right="0" w:firstLine="5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0 - не удовлетворяет показателю оценки;</w:t>
      </w:r>
    </w:p>
    <w:p>
      <w:pPr>
        <w:pStyle w:val="ConsPlusNormal"/>
        <w:spacing w:before="220" w:after="0"/>
        <w:ind w:left="0" w:right="0" w:firstLine="5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1 - частично удовлетворяет показателю оценки;</w:t>
      </w:r>
    </w:p>
    <w:p>
      <w:pPr>
        <w:pStyle w:val="ConsPlusNormal"/>
        <w:spacing w:before="220" w:after="0"/>
        <w:ind w:left="0" w:right="0" w:firstLine="54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2 - полностью удовлетворяет показателю оценки.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26257"/>
    <w:pPr>
      <w:widowControl/>
      <w:suppressAutoHyphens w:val="true"/>
      <w:bidi w:val="0"/>
      <w:spacing w:lineRule="auto" w:line="240" w:before="0" w:after="0"/>
      <w:ind w:firstLine="709"/>
      <w:jc w:val="both"/>
    </w:pPr>
    <w:rPr>
      <w:rFonts w:ascii="Arial" w:hAnsi="Arial" w:eastAsia="Times New Roman" w:cs="Times New Roman"/>
      <w:color w:val="00000A"/>
      <w:sz w:val="26"/>
      <w:szCs w:val="24"/>
      <w:lang w:val="en-US" w:eastAsia="zh-CN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c26257"/>
    <w:rPr/>
  </w:style>
  <w:style w:type="character" w:styleId="Style14" w:customStyle="1">
    <w:name w:val="Основной текст Знак"/>
    <w:basedOn w:val="DefaultParagraphFont"/>
    <w:link w:val="a3"/>
    <w:qFormat/>
    <w:rsid w:val="00c26257"/>
    <w:rPr>
      <w:rFonts w:ascii="Arial" w:hAnsi="Arial" w:eastAsia="Times New Roman" w:cs="Times New Roman"/>
      <w:sz w:val="26"/>
      <w:szCs w:val="24"/>
      <w:lang w:val="en-US" w:eastAsia="zh-CN" w:bidi="en-US"/>
    </w:rPr>
  </w:style>
  <w:style w:type="character" w:styleId="Style15" w:customStyle="1">
    <w:name w:val="Верхний колонтитул Знак"/>
    <w:basedOn w:val="DefaultParagraphFont"/>
    <w:link w:val="a5"/>
    <w:qFormat/>
    <w:rsid w:val="00992daf"/>
    <w:rPr>
      <w:rFonts w:ascii="Arial" w:hAnsi="Arial" w:eastAsia="Times New Roman" w:cs="Times New Roman"/>
      <w:sz w:val="26"/>
      <w:szCs w:val="24"/>
      <w:lang w:val="en-US" w:eastAsia="zh-CN" w:bidi="en-US"/>
    </w:rPr>
  </w:style>
  <w:style w:type="character" w:styleId="Style16">
    <w:name w:val="Интернет-ссылка"/>
    <w:rsid w:val="00325774"/>
    <w:rPr>
      <w:color w:val="0000FF"/>
      <w:u w:val="single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4"/>
    <w:rsid w:val="00c26257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c2625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6"/>
      <w:szCs w:val="20"/>
      <w:lang w:val="ru-RU" w:eastAsia="zh-CN" w:bidi="ar-SA"/>
    </w:rPr>
  </w:style>
  <w:style w:type="paragraph" w:styleId="Style23">
    <w:name w:val="Header"/>
    <w:basedOn w:val="Normal"/>
    <w:link w:val="a6"/>
    <w:rsid w:val="00992daf"/>
    <w:pPr/>
    <w:rPr/>
  </w:style>
  <w:style w:type="paragraph" w:styleId="ConsPlusNormal" w:customStyle="1">
    <w:name w:val="ConsPlusNormal"/>
    <w:qFormat/>
    <w:rsid w:val="00325774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color w:val="00000A"/>
      <w:sz w:val="24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260BCCC232197DB45316853AAF140F86362ABA6895B36ABBEF6AEB902EAAE906569959CCA0D343425FC69FC5A56952EF77F495B89p4i1G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LibreOffice/5.1.2.2$Windows_x86 LibreOffice_project/d3bf12ecb743fc0d20e0be0c58ca359301eb705f</Application>
  <Pages>3</Pages>
  <Words>1118</Words>
  <Characters>8417</Characters>
  <CharactersWithSpaces>9481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2019-12-08T14:52:00Z</dcterms:created>
  <dc:creator>User</dc:creator>
  <dc:description/>
  <dc:language>ru-RU</dc:language>
  <cp:lastModifiedBy/>
  <dcterms:modified xsi:type="dcterms:W3CDTF">2022-04-26T17:52:52Z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