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3" w:rsidRDefault="0085077E">
      <w:pPr>
        <w:ind w:firstLine="0"/>
        <w:jc w:val="center"/>
        <w:rPr>
          <w:szCs w:val="26"/>
        </w:rPr>
      </w:pPr>
      <w:r>
        <w:rPr>
          <w:szCs w:val="26"/>
          <w:lang w:eastAsia="en-US"/>
        </w:rPr>
        <w:t xml:space="preserve">Шкала </w:t>
      </w:r>
      <w:proofErr w:type="gramStart"/>
      <w:r>
        <w:rPr>
          <w:szCs w:val="26"/>
          <w:lang w:eastAsia="en-US"/>
        </w:rPr>
        <w:t>для оценки критериев сопоставления заявок на участие в открытом конкурсе на право получения свидетельства об осуществлении</w:t>
      </w:r>
      <w:proofErr w:type="gramEnd"/>
      <w:r>
        <w:rPr>
          <w:szCs w:val="26"/>
          <w:lang w:eastAsia="en-US"/>
        </w:rPr>
        <w:t xml:space="preserve"> перевозок по одному или нескольким муниципальным маршрутам регулярных перевозок в границах Уватского муниципального района</w:t>
      </w:r>
    </w:p>
    <w:p w:rsidR="001C51D3" w:rsidRDefault="001C51D3">
      <w:pPr>
        <w:ind w:firstLine="0"/>
        <w:jc w:val="center"/>
        <w:rPr>
          <w:szCs w:val="26"/>
          <w:lang w:eastAsia="en-US"/>
        </w:rPr>
      </w:pPr>
    </w:p>
    <w:p w:rsidR="001C51D3" w:rsidRDefault="0085077E">
      <w:pPr>
        <w:ind w:firstLine="0"/>
        <w:jc w:val="center"/>
        <w:rPr>
          <w:szCs w:val="26"/>
        </w:rPr>
      </w:pPr>
      <w:r>
        <w:rPr>
          <w:szCs w:val="26"/>
          <w:lang w:eastAsia="en-US"/>
        </w:rPr>
        <w:t>(</w:t>
      </w:r>
      <w:proofErr w:type="gramStart"/>
      <w:r>
        <w:rPr>
          <w:szCs w:val="26"/>
          <w:lang w:eastAsia="en-US"/>
        </w:rPr>
        <w:t>утверждена</w:t>
      </w:r>
      <w:proofErr w:type="gramEnd"/>
      <w:r>
        <w:rPr>
          <w:szCs w:val="26"/>
          <w:lang w:eastAsia="en-US"/>
        </w:rPr>
        <w:t xml:space="preserve"> постановлением администрации Уватского муниципального района от 06.10.2020 № 282)</w:t>
      </w:r>
    </w:p>
    <w:p w:rsidR="001C51D3" w:rsidRDefault="001C51D3">
      <w:pPr>
        <w:ind w:firstLine="0"/>
        <w:rPr>
          <w:szCs w:val="26"/>
          <w:lang w:eastAsia="en-US"/>
        </w:rPr>
      </w:pPr>
    </w:p>
    <w:tbl>
      <w:tblPr>
        <w:tblW w:w="9638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5823"/>
        <w:gridCol w:w="1356"/>
        <w:gridCol w:w="1707"/>
      </w:tblGrid>
      <w:tr w:rsidR="001C51D3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</w:t>
            </w:r>
          </w:p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п</w:t>
            </w:r>
            <w:proofErr w:type="gramEnd"/>
            <w:r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</w:t>
            </w:r>
          </w:p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баллов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Величина значимости критерия оценки заявок на участие в открытом конкурсе**</w:t>
            </w:r>
          </w:p>
        </w:tc>
      </w:tr>
      <w:tr w:rsidR="001C51D3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Количество дорожно-транспортных </w:t>
            </w:r>
            <w:r>
              <w:rPr>
                <w:rFonts w:cs="Arial"/>
                <w:sz w:val="20"/>
                <w:szCs w:val="20"/>
              </w:rPr>
              <w:t>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</w:t>
            </w:r>
            <w:r>
              <w:rPr>
                <w:rFonts w:cs="Arial"/>
                <w:sz w:val="20"/>
                <w:szCs w:val="20"/>
              </w:rPr>
              <w:t>о дате размещения извещения о проведении открытого конкурса в единой информационной системе в сфере закупок или на официальном сайте организатора открытого конкурса в информационно-телекоммуникационной сети "Интернет" (далее - дата размещения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извещения), в</w:t>
            </w:r>
            <w:r>
              <w:rPr>
                <w:rFonts w:cs="Arial"/>
                <w:sz w:val="20"/>
                <w:szCs w:val="20"/>
              </w:rPr>
              <w:t xml:space="preserve">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</w:t>
            </w:r>
            <w:r>
              <w:rPr>
                <w:rFonts w:cs="Arial"/>
                <w:sz w:val="20"/>
                <w:szCs w:val="20"/>
              </w:rPr>
              <w:t>доровью, имуществу пассажиров, действовавшими в течение года, предшествующего дате размещения извещения</w:t>
            </w:r>
            <w:proofErr w:type="gramEnd"/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>
            <w:pPr>
              <w:ind w:firstLine="0"/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21,00%</w:t>
            </w:r>
          </w:p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0,48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0,12 до 0,48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 до 0,12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Опыт осуществления регулярных перевозок юридическим </w:t>
            </w:r>
            <w:r>
              <w:rPr>
                <w:rFonts w:cs="Arial"/>
                <w:sz w:val="20"/>
                <w:szCs w:val="20"/>
              </w:rPr>
              <w:t>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или иными документами, выданными</w:t>
            </w:r>
            <w:r>
              <w:rPr>
                <w:rFonts w:cs="Arial"/>
                <w:sz w:val="20"/>
                <w:szCs w:val="20"/>
              </w:rPr>
              <w:t xml:space="preserve">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>
            <w:pPr>
              <w:ind w:firstLine="0"/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30,00%</w:t>
            </w:r>
          </w:p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без опыта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двух лет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свыше двух лет до трех лет </w:t>
            </w:r>
            <w:r>
              <w:rPr>
                <w:rFonts w:cs="Arial"/>
                <w:sz w:val="20"/>
                <w:szCs w:val="20"/>
              </w:rPr>
              <w:t>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трех лет до четырех лет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четырех лет до пяти лет (включительно)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пяти лет и более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Влияющие на качество перевозок характеристики транспортных средств, предлагаемых юридическим лицом, </w:t>
            </w:r>
            <w:r>
              <w:rPr>
                <w:rFonts w:cs="Arial"/>
                <w:sz w:val="20"/>
                <w:szCs w:val="20"/>
              </w:rPr>
              <w:t>индивидуальным предпринимателем или участниками договора простого товарищества для осуществления регулярных перевозок:</w:t>
            </w:r>
          </w:p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транспортных средств, потребляющих газомоторное топливо (заводская комплектация или установлено ГБО с отметкой в ПТС)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19,00%</w:t>
            </w:r>
          </w:p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транспортных средств, потребляющих газомоторное топливо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3% (включительно)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  <w:vAlign w:val="center"/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3% до 6%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 6% до 9%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свыше 9%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Максимальный срок эксплуатации </w:t>
            </w:r>
            <w:r>
              <w:rPr>
                <w:rFonts w:cs="Arial"/>
                <w:sz w:val="20"/>
                <w:szCs w:val="20"/>
              </w:rPr>
              <w:t>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</w:t>
            </w:r>
            <w:r>
              <w:rPr>
                <w:rFonts w:cs="Arial"/>
                <w:sz w:val="20"/>
                <w:szCs w:val="20"/>
              </w:rPr>
              <w:t>рных перевозок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30,00%</w:t>
            </w:r>
          </w:p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подтверждающих документов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(в том числе по классам) транспортных средств менее «расчетной величины транспортных средств», количество которых указано в описании объекта закупки или отсутствия сведений</w:t>
            </w:r>
            <w:r>
              <w:rPr>
                <w:sz w:val="20"/>
                <w:szCs w:val="20"/>
              </w:rPr>
              <w:t xml:space="preserve"> о транспортных средствах в реестре лицензий</w:t>
            </w:r>
          </w:p>
        </w:tc>
        <w:tc>
          <w:tcPr>
            <w:tcW w:w="1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эксплуатации транспортных средств от 61 месяца и выше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эксплуатации транспортных средств от 49 месяцев до 60 месяцев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срок эксплуатации транспортных средств от 37 месяцев </w:t>
            </w:r>
            <w:r>
              <w:rPr>
                <w:rFonts w:cs="Arial"/>
                <w:sz w:val="20"/>
                <w:szCs w:val="20"/>
              </w:rPr>
              <w:t>до 48 месяцев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эксплуатации транспортных средств от 25 месяцев до 36 месяцев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 w:rsidP="004E30B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срок экс</w:t>
            </w:r>
            <w:r w:rsidR="004E30B3">
              <w:rPr>
                <w:rFonts w:cs="Arial"/>
                <w:sz w:val="20"/>
                <w:szCs w:val="20"/>
              </w:rPr>
              <w:t>плуатации транспортных средств до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24 месяцев (включительно)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/>
        </w:tc>
      </w:tr>
      <w:tr w:rsidR="001C51D3"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1C51D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400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:rsidR="001C51D3" w:rsidRDefault="008507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 100</w:t>
            </w:r>
          </w:p>
        </w:tc>
      </w:tr>
    </w:tbl>
    <w:p w:rsidR="001C51D3" w:rsidRDefault="001C51D3"/>
    <w:p w:rsidR="001C51D3" w:rsidRDefault="0085077E">
      <w:r>
        <w:t>Примечания:</w:t>
      </w:r>
    </w:p>
    <w:p w:rsidR="001C51D3" w:rsidRDefault="0085077E">
      <w:proofErr w:type="gramStart"/>
      <w:r>
        <w:rPr>
          <w:szCs w:val="26"/>
        </w:rPr>
        <w:t xml:space="preserve">**применяется при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порядке, установленном Федеральным </w:t>
      </w:r>
      <w:hyperlink r:id="rId8">
        <w:r>
          <w:rPr>
            <w:rStyle w:val="-"/>
            <w:color w:val="auto"/>
            <w:szCs w:val="26"/>
            <w:u w:val="none"/>
          </w:rPr>
          <w:t>законом</w:t>
        </w:r>
      </w:hyperlink>
      <w:r>
        <w:rPr>
          <w:szCs w:val="26"/>
        </w:rPr>
        <w:t xml:space="preserve"> от 13.07.2015 № 220-ФЗ «Об </w:t>
      </w:r>
      <w:r>
        <w:rPr>
          <w:szCs w:val="26"/>
        </w:rPr>
        <w:lastRenderedPageBreak/>
        <w:t>организации регулярных перевозок пассажиров и багажа автомобильным транспортом и городским назем</w:t>
      </w:r>
      <w:r>
        <w:rPr>
          <w:szCs w:val="26"/>
        </w:rPr>
        <w:t>ным электрическим транспортом в Российской Федерации и о внесении изменений в отдельные законодательные акты Российской Федерации».</w:t>
      </w:r>
      <w:proofErr w:type="gramEnd"/>
    </w:p>
    <w:p w:rsidR="001C51D3" w:rsidRDefault="0085077E">
      <w:r>
        <w:rPr>
          <w:szCs w:val="26"/>
        </w:rPr>
        <w:t>1. По критерию № 1 количество дорожно-транспортных происшествий подтверждается следующим документом:</w:t>
      </w:r>
    </w:p>
    <w:p w:rsidR="001C51D3" w:rsidRDefault="0085077E">
      <w:pPr>
        <w:rPr>
          <w:szCs w:val="26"/>
        </w:rPr>
      </w:pPr>
      <w:r>
        <w:rPr>
          <w:szCs w:val="26"/>
        </w:rPr>
        <w:t>сведения (справка) от у</w:t>
      </w:r>
      <w:r>
        <w:rPr>
          <w:szCs w:val="26"/>
        </w:rPr>
        <w:t>полномоченного органа (УГИБДД УМВД России по Тюменской области):</w:t>
      </w:r>
    </w:p>
    <w:p w:rsidR="001C51D3" w:rsidRDefault="0085077E">
      <w:pPr>
        <w:rPr>
          <w:szCs w:val="26"/>
        </w:rPr>
      </w:pPr>
      <w:r>
        <w:rPr>
          <w:szCs w:val="26"/>
        </w:rPr>
        <w:t>а) о количестве дорожно-транспортных происшествий на транспортных средствах, зарегистрированных на юридическом лице, индивидуальном предпринимателе, у участников простого товарищества, повлек</w:t>
      </w:r>
      <w:r>
        <w:rPr>
          <w:szCs w:val="26"/>
        </w:rPr>
        <w:t>ших за собой человеческие жертвы или причинение вреда жизни, здоровью, имуществу граждан, произошедших по вине юридического лица, индивидуального предпринимателя, участников договора простого товарищества или их работников;</w:t>
      </w:r>
    </w:p>
    <w:p w:rsidR="001C51D3" w:rsidRDefault="0085077E">
      <w:pPr>
        <w:rPr>
          <w:szCs w:val="26"/>
        </w:rPr>
      </w:pPr>
      <w:r>
        <w:rPr>
          <w:szCs w:val="26"/>
        </w:rPr>
        <w:t>б) о количестве зарегистрированн</w:t>
      </w:r>
      <w:r>
        <w:rPr>
          <w:szCs w:val="26"/>
        </w:rPr>
        <w:t>ых транспортных средств на юридическом лице, индивидуальном предпринимателе, у участников простого товарищества на начало и окончание календарного года.</w:t>
      </w:r>
    </w:p>
    <w:p w:rsidR="001C51D3" w:rsidRDefault="0085077E">
      <w:pPr>
        <w:rPr>
          <w:szCs w:val="26"/>
        </w:rPr>
      </w:pPr>
      <w:r>
        <w:rPr>
          <w:szCs w:val="26"/>
        </w:rPr>
        <w:t>В случае регистрации транспортного средства на территории иного субъекта Российской Федерации, сведения</w:t>
      </w:r>
      <w:r>
        <w:rPr>
          <w:szCs w:val="26"/>
        </w:rPr>
        <w:t xml:space="preserve"> (справка), указанные в настоящем пункте, от уполномоченного органа субъекта Российской Федерации, в котором зарегистрировано транспортное средство, а также от уполномоченного органа (УГИБДД УМВД России по Тюменской области).</w:t>
      </w:r>
    </w:p>
    <w:p w:rsidR="001C51D3" w:rsidRDefault="0085077E">
      <w:r>
        <w:rPr>
          <w:szCs w:val="26"/>
        </w:rPr>
        <w:t>2. По критерию № 2 опыт осущес</w:t>
      </w:r>
      <w:r>
        <w:rPr>
          <w:szCs w:val="26"/>
        </w:rPr>
        <w:t xml:space="preserve">твления регулярных перевозок </w:t>
      </w:r>
      <w:r>
        <w:rPr>
          <w:szCs w:val="26"/>
        </w:rPr>
        <w:t>в</w:t>
      </w:r>
      <w:r>
        <w:rPr>
          <w:sz w:val="20"/>
          <w:szCs w:val="26"/>
        </w:rPr>
        <w:t xml:space="preserve"> </w:t>
      </w:r>
      <w:r>
        <w:rPr>
          <w:szCs w:val="26"/>
        </w:rPr>
        <w:t>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</w:t>
      </w:r>
      <w:r>
        <w:rPr>
          <w:szCs w:val="26"/>
        </w:rPr>
        <w:t>а исходя из среднеарифметического количества полных лет осуществления перевозок по маршрутам регулярных перевозок каждым участником</w:t>
      </w:r>
      <w:r>
        <w:rPr>
          <w:szCs w:val="26"/>
        </w:rPr>
        <w:t>. Неполный год опыта работы не учитывается.</w:t>
      </w:r>
    </w:p>
    <w:p w:rsidR="001C51D3" w:rsidRDefault="0085077E">
      <w:pPr>
        <w:rPr>
          <w:szCs w:val="26"/>
        </w:rPr>
      </w:pPr>
      <w:r>
        <w:rPr>
          <w:szCs w:val="26"/>
        </w:rPr>
        <w:t>В случае если государственный/муниципальный контракт расторгнут, то опыт работы п</w:t>
      </w:r>
      <w:r>
        <w:rPr>
          <w:szCs w:val="26"/>
        </w:rPr>
        <w:t>о данному контракту равен нулю (исключение составляют случаи расторжения контракта по соглашению сторон).</w:t>
      </w:r>
    </w:p>
    <w:p w:rsidR="001C51D3" w:rsidRDefault="0085077E">
      <w:pPr>
        <w:rPr>
          <w:szCs w:val="26"/>
        </w:rPr>
      </w:pPr>
      <w:r>
        <w:rPr>
          <w:szCs w:val="26"/>
        </w:rPr>
        <w:t>Опыт осуществления регулярных перевозок подтверждается следующими документами:</w:t>
      </w:r>
    </w:p>
    <w:p w:rsidR="001C51D3" w:rsidRDefault="0085077E">
      <w:pPr>
        <w:rPr>
          <w:szCs w:val="26"/>
        </w:rPr>
      </w:pPr>
      <w:proofErr w:type="gramStart"/>
      <w:r>
        <w:rPr>
          <w:szCs w:val="26"/>
        </w:rPr>
        <w:t>а) копии исполненных государственных и (или) муниципальных контрактов/д</w:t>
      </w:r>
      <w:r>
        <w:rPr>
          <w:szCs w:val="26"/>
        </w:rPr>
        <w:t>оговоров, заключенных с уполномоченным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оказание усл</w:t>
      </w:r>
      <w:r>
        <w:rPr>
          <w:szCs w:val="26"/>
        </w:rPr>
        <w:t>уг/выполнение работ, связанных с осуществлением регулярных перевозок пассажиров и багажа, иных документов, выданных в соответствии с нормативными правовыми актами субъектов Российской Федерации, муниципальными нормативными правовыми актами</w:t>
      </w:r>
      <w:proofErr w:type="gramEnd"/>
      <w:r>
        <w:rPr>
          <w:szCs w:val="26"/>
        </w:rPr>
        <w:t>, связанных с осу</w:t>
      </w:r>
      <w:r>
        <w:rPr>
          <w:szCs w:val="26"/>
        </w:rPr>
        <w:t>ществлением регулярных перевозок или заверенной копии свидетельства об осуществлении перевозок по маршруту регулярных перевозок, копии договоров подряда, заключенных до 29.12.2017, предметом которых является оказание услуг/выполнение работ, связанных с осу</w:t>
      </w:r>
      <w:r>
        <w:rPr>
          <w:szCs w:val="26"/>
        </w:rPr>
        <w:t>ществлением регулярных перевозок пассажиров и багажа автомобильным транспортом по муниципальным/ межмуниципальным/ межрегиональным маршрутам;</w:t>
      </w:r>
    </w:p>
    <w:p w:rsidR="001C51D3" w:rsidRDefault="0085077E">
      <w:proofErr w:type="gramStart"/>
      <w:r>
        <w:rPr>
          <w:szCs w:val="26"/>
        </w:rPr>
        <w:lastRenderedPageBreak/>
        <w:t>б) копии актов выполненных работ (актов приемки работ), связанных с осуществлением регулярных перевозок пассажиров</w:t>
      </w:r>
      <w:r>
        <w:rPr>
          <w:szCs w:val="26"/>
        </w:rPr>
        <w:t xml:space="preserve"> и багажа, подписанные сторонами и </w:t>
      </w:r>
      <w:r>
        <w:rPr>
          <w:color w:val="000000"/>
          <w:szCs w:val="26"/>
        </w:rPr>
        <w:t xml:space="preserve">приложенные </w:t>
      </w:r>
      <w:r>
        <w:rPr>
          <w:szCs w:val="26"/>
        </w:rPr>
        <w:t xml:space="preserve">к </w:t>
      </w:r>
      <w:r>
        <w:rPr>
          <w:color w:val="000000"/>
          <w:szCs w:val="26"/>
        </w:rPr>
        <w:t>к</w:t>
      </w:r>
      <w:r>
        <w:rPr>
          <w:color w:val="000000"/>
          <w:szCs w:val="26"/>
        </w:rPr>
        <w:t>опиям контрактов/договоров с уполномоченным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оказани</w:t>
      </w:r>
      <w:r>
        <w:rPr>
          <w:color w:val="000000"/>
          <w:szCs w:val="26"/>
        </w:rPr>
        <w:t>е услуг/выполнение работ, связанных с осуществлением регулярных перевозок или копии свидетельств об осуществлении</w:t>
      </w:r>
      <w:proofErr w:type="gramEnd"/>
      <w:r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перевозок по маршруту регулярных перевозок, или копии документов, подтверждающих исполнение государственных (муниципальных) контрактов/договор</w:t>
      </w:r>
      <w:r>
        <w:rPr>
          <w:color w:val="000000"/>
          <w:szCs w:val="26"/>
        </w:rPr>
        <w:t>ов, с уполномоченным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или подведомственным им учреждениям на выполнение работ, иных докумен</w:t>
      </w:r>
      <w:r>
        <w:rPr>
          <w:color w:val="000000"/>
          <w:szCs w:val="26"/>
        </w:rPr>
        <w:t>тов выданных в соответствии с нормативными правовыми актами субъектов Российской Федерации, муниципальными нормативными правовыми актами, связанных с осуществлением регулярных перевозок</w:t>
      </w:r>
      <w:r>
        <w:rPr>
          <w:szCs w:val="26"/>
        </w:rPr>
        <w:t>;</w:t>
      </w:r>
      <w:proofErr w:type="gramEnd"/>
    </w:p>
    <w:p w:rsidR="001C51D3" w:rsidRDefault="0085077E">
      <w:r>
        <w:rPr>
          <w:szCs w:val="26"/>
        </w:rPr>
        <w:t xml:space="preserve">в) копии соглашений о расторжении контракта/договора до окончания </w:t>
      </w:r>
      <w:r>
        <w:rPr>
          <w:szCs w:val="26"/>
        </w:rPr>
        <w:t>срока действия либо решения суда о досрочном расторжении (при наличии).</w:t>
      </w:r>
    </w:p>
    <w:p w:rsidR="001C51D3" w:rsidRDefault="0085077E">
      <w:r>
        <w:rPr>
          <w:szCs w:val="26"/>
        </w:rPr>
        <w:t>3. По критерию №</w:t>
      </w:r>
      <w:hyperlink r:id="rId9">
        <w:r>
          <w:rPr>
            <w:rStyle w:val="-"/>
            <w:color w:val="auto"/>
            <w:szCs w:val="26"/>
            <w:u w:val="none"/>
          </w:rPr>
          <w:t xml:space="preserve"> </w:t>
        </w:r>
      </w:hyperlink>
      <w:r>
        <w:rPr>
          <w:szCs w:val="26"/>
        </w:rPr>
        <w:t>3</w:t>
      </w:r>
      <w:r>
        <w:rPr>
          <w:szCs w:val="26"/>
        </w:rPr>
        <w:t xml:space="preserve"> использование транспортных средств, потребляющих газомоторное топливо, подтверждается следующими документами:</w:t>
      </w:r>
    </w:p>
    <w:p w:rsidR="001C51D3" w:rsidRDefault="0085077E">
      <w:pPr>
        <w:rPr>
          <w:szCs w:val="26"/>
        </w:rPr>
      </w:pPr>
      <w:r>
        <w:rPr>
          <w:szCs w:val="26"/>
        </w:rPr>
        <w:t>а) копия паспорта транспортного средства либо выписка из электронного паспорта транспортного средства;</w:t>
      </w:r>
    </w:p>
    <w:p w:rsidR="001C51D3" w:rsidRDefault="0085077E">
      <w:pPr>
        <w:rPr>
          <w:szCs w:val="26"/>
        </w:rPr>
      </w:pPr>
      <w:r>
        <w:rPr>
          <w:szCs w:val="26"/>
        </w:rPr>
        <w:t>б) в случае если участник конкурса</w:t>
      </w:r>
      <w:r>
        <w:rPr>
          <w:szCs w:val="26"/>
        </w:rPr>
        <w:t xml:space="preserve"> не является собственником транспортного средства, то необходима копия документа, подтверждающего право пользования и (или) распоряжения данным транспортным средством, составленного в соответствии с гражданским законодательством Российской Федерации.</w:t>
      </w:r>
    </w:p>
    <w:p w:rsidR="001C51D3" w:rsidRDefault="0085077E">
      <w:pPr>
        <w:rPr>
          <w:szCs w:val="26"/>
        </w:rPr>
      </w:pPr>
      <w:r>
        <w:rPr>
          <w:szCs w:val="26"/>
        </w:rPr>
        <w:t>Колич</w:t>
      </w:r>
      <w:r>
        <w:rPr>
          <w:szCs w:val="26"/>
        </w:rPr>
        <w:t>ество оцениваемых транспортных средств должно быть не менее «расчетной величины транспортных средств», количество которых указано в описании объекта закупки.</w:t>
      </w:r>
    </w:p>
    <w:p w:rsidR="001C51D3" w:rsidRDefault="0085077E">
      <w:pPr>
        <w:rPr>
          <w:szCs w:val="26"/>
        </w:rPr>
      </w:pPr>
      <w:r>
        <w:rPr>
          <w:szCs w:val="26"/>
        </w:rPr>
        <w:t>Оценке и сопоставлению подлежат все транспортные средства (основные и резервные).</w:t>
      </w:r>
    </w:p>
    <w:p w:rsidR="001C51D3" w:rsidRDefault="0085077E">
      <w:r>
        <w:rPr>
          <w:szCs w:val="26"/>
        </w:rPr>
        <w:t>4. По критерию №</w:t>
      </w:r>
      <w:r>
        <w:rPr>
          <w:szCs w:val="26"/>
        </w:rPr>
        <w:t xml:space="preserve"> 4 максимальный срок эксплуатации транспортных средств вычисляется как среднеарифметическое значение суммы сроков эксплуатации транспортных сре</w:t>
      </w:r>
      <w:proofErr w:type="gramStart"/>
      <w:r>
        <w:rPr>
          <w:szCs w:val="26"/>
        </w:rPr>
        <w:t>дств к к</w:t>
      </w:r>
      <w:proofErr w:type="gramEnd"/>
      <w:r>
        <w:rPr>
          <w:szCs w:val="26"/>
        </w:rPr>
        <w:t>оличеству транспортных средств.</w:t>
      </w:r>
    </w:p>
    <w:p w:rsidR="001C51D3" w:rsidRDefault="0085077E">
      <w:pPr>
        <w:rPr>
          <w:szCs w:val="26"/>
        </w:rPr>
      </w:pPr>
      <w:r>
        <w:rPr>
          <w:szCs w:val="26"/>
        </w:rPr>
        <w:t>Срок эксплуатации транспортного средства рассчитывается в месяцах (округл</w:t>
      </w:r>
      <w:r>
        <w:rPr>
          <w:szCs w:val="26"/>
        </w:rPr>
        <w:t xml:space="preserve">ение до десятых числа) </w:t>
      </w:r>
      <w:proofErr w:type="gramStart"/>
      <w:r>
        <w:rPr>
          <w:szCs w:val="26"/>
        </w:rPr>
        <w:t>с даты</w:t>
      </w:r>
      <w:proofErr w:type="gramEnd"/>
      <w:r>
        <w:rPr>
          <w:szCs w:val="26"/>
        </w:rPr>
        <w:t xml:space="preserve"> первичной регистрации транспортного средства в уполномоченном органе субъекта Российской Федерации (УГИБДД УМВД России) или с года изготовления для электронных паспортов транспортных средств (расчет с 01 января) до даты оконча</w:t>
      </w:r>
      <w:r>
        <w:rPr>
          <w:szCs w:val="26"/>
        </w:rPr>
        <w:t>ния подачи заявок на участие в конкурсе.</w:t>
      </w:r>
    </w:p>
    <w:p w:rsidR="001C51D3" w:rsidRDefault="0085077E">
      <w:pPr>
        <w:rPr>
          <w:szCs w:val="26"/>
        </w:rPr>
      </w:pPr>
      <w:r>
        <w:rPr>
          <w:szCs w:val="26"/>
        </w:rPr>
        <w:t>Срок эксплуатации транспортных средств подтверждается следующими документами:</w:t>
      </w:r>
    </w:p>
    <w:p w:rsidR="001C51D3" w:rsidRDefault="0085077E">
      <w:pPr>
        <w:rPr>
          <w:szCs w:val="26"/>
        </w:rPr>
      </w:pPr>
      <w:r>
        <w:rPr>
          <w:szCs w:val="26"/>
        </w:rPr>
        <w:t>а) копия паспорта транспортного средства либо выписка из электронного паспорта транспортного средства;</w:t>
      </w:r>
    </w:p>
    <w:p w:rsidR="001C51D3" w:rsidRDefault="0085077E">
      <w:pPr>
        <w:rPr>
          <w:szCs w:val="26"/>
        </w:rPr>
      </w:pPr>
      <w:r>
        <w:rPr>
          <w:szCs w:val="26"/>
        </w:rPr>
        <w:t>б) в случае если участник конкурса</w:t>
      </w:r>
      <w:r>
        <w:rPr>
          <w:szCs w:val="26"/>
        </w:rPr>
        <w:t xml:space="preserve"> не является собственником транспортного средства, то необходима копия документа, подтверждающего право пользования и (или) распоряжения данным транспортным средством, </w:t>
      </w:r>
      <w:r>
        <w:rPr>
          <w:szCs w:val="26"/>
        </w:rPr>
        <w:lastRenderedPageBreak/>
        <w:t>составленного в соответствии с гражданским законодательством Российской Федерации.</w:t>
      </w:r>
    </w:p>
    <w:p w:rsidR="001C51D3" w:rsidRDefault="0085077E">
      <w:pPr>
        <w:rPr>
          <w:szCs w:val="26"/>
        </w:rPr>
      </w:pPr>
      <w:r>
        <w:rPr>
          <w:szCs w:val="26"/>
        </w:rPr>
        <w:t>Колич</w:t>
      </w:r>
      <w:r>
        <w:rPr>
          <w:szCs w:val="26"/>
        </w:rPr>
        <w:t>ество оцениваемых транспортных средств должно быть не менее «расчетной величины транспортных средств», количество которых указано в описании объекта закупки (количество и класс оцениваемых транспортных средств должно быть не менее величины, которая указана</w:t>
      </w:r>
      <w:r>
        <w:rPr>
          <w:szCs w:val="26"/>
        </w:rPr>
        <w:t xml:space="preserve"> в описании объекта закупки).</w:t>
      </w:r>
    </w:p>
    <w:p w:rsidR="001C51D3" w:rsidRDefault="0085077E">
      <w:pPr>
        <w:rPr>
          <w:color w:val="000000"/>
          <w:szCs w:val="26"/>
        </w:rPr>
      </w:pPr>
      <w:r>
        <w:rPr>
          <w:color w:val="000000"/>
          <w:szCs w:val="26"/>
        </w:rPr>
        <w:t xml:space="preserve">В случае предоставления документов на транспортные средства в количестве </w:t>
      </w:r>
      <w:proofErr w:type="gramStart"/>
      <w:r>
        <w:rPr>
          <w:color w:val="000000"/>
          <w:szCs w:val="26"/>
        </w:rPr>
        <w:t>более указанного</w:t>
      </w:r>
      <w:proofErr w:type="gramEnd"/>
      <w:r>
        <w:rPr>
          <w:color w:val="000000"/>
          <w:szCs w:val="26"/>
        </w:rPr>
        <w:t xml:space="preserve"> в описании объекта закупки при расчете значения баллов учитывается количество «расчетной величины транспортных средств», которое указано</w:t>
      </w:r>
      <w:r>
        <w:rPr>
          <w:color w:val="000000"/>
          <w:szCs w:val="26"/>
        </w:rPr>
        <w:t xml:space="preserve"> в описании объекта закупки (с наилучшими показателями по данному критерию).</w:t>
      </w:r>
    </w:p>
    <w:p w:rsidR="001C51D3" w:rsidRDefault="0085077E">
      <w:pPr>
        <w:rPr>
          <w:color w:val="000000"/>
          <w:szCs w:val="26"/>
        </w:rPr>
      </w:pPr>
      <w:r>
        <w:rPr>
          <w:color w:val="000000"/>
          <w:szCs w:val="26"/>
        </w:rPr>
        <w:t xml:space="preserve">Оценке и сопоставлению подлежат все транспортные средства участника открытого конкурса в электронной форме (максимальные и резервные), </w:t>
      </w:r>
      <w:proofErr w:type="gramStart"/>
      <w:r>
        <w:rPr>
          <w:color w:val="000000"/>
          <w:szCs w:val="26"/>
        </w:rPr>
        <w:t>сведения</w:t>
      </w:r>
      <w:proofErr w:type="gramEnd"/>
      <w:r>
        <w:rPr>
          <w:color w:val="000000"/>
          <w:szCs w:val="26"/>
        </w:rPr>
        <w:t xml:space="preserve"> о которых включены в реестр лицензи</w:t>
      </w:r>
      <w:r>
        <w:rPr>
          <w:color w:val="000000"/>
          <w:szCs w:val="26"/>
        </w:rPr>
        <w:t>й в соответствии со статьей 3.2 Федерального закона от 08.11.2007 №259-ФЗ «Устав автомобильного транспорта и городского наземного электрического транспорта».</w:t>
      </w:r>
    </w:p>
    <w:p w:rsidR="001C51D3" w:rsidRDefault="001C51D3">
      <w:pPr>
        <w:rPr>
          <w:color w:val="000000"/>
          <w:szCs w:val="26"/>
          <w:highlight w:val="yellow"/>
        </w:rPr>
      </w:pPr>
    </w:p>
    <w:p w:rsidR="001C51D3" w:rsidRDefault="001C51D3">
      <w:pPr>
        <w:rPr>
          <w:color w:val="000000"/>
          <w:szCs w:val="26"/>
          <w:highlight w:val="yellow"/>
        </w:rPr>
      </w:pPr>
    </w:p>
    <w:p w:rsidR="001C51D3" w:rsidRDefault="0085077E">
      <w:hyperlink r:id="rId10">
        <w:bookmarkStart w:id="1" w:name="Par8"/>
        <w:bookmarkStart w:id="2" w:name="Par17"/>
        <w:bookmarkStart w:id="3" w:name="Par24"/>
        <w:bookmarkStart w:id="4" w:name="Par33"/>
        <w:bookmarkStart w:id="5" w:name="Par82"/>
        <w:bookmarkStart w:id="6" w:name="Par81"/>
        <w:bookmarkStart w:id="7" w:name="Par171"/>
        <w:bookmarkStart w:id="8" w:name="Par242"/>
        <w:bookmarkStart w:id="9" w:name="Par331"/>
        <w:bookmarkStart w:id="10" w:name="Par821"/>
        <w:bookmarkStart w:id="11" w:name="Par831"/>
        <w:bookmarkStart w:id="12" w:name="Par83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hyperlink>
    </w:p>
    <w:sectPr w:rsidR="001C51D3">
      <w:headerReference w:type="default" r:id="rId11"/>
      <w:footerReference w:type="default" r:id="rId12"/>
      <w:pgSz w:w="11906" w:h="16838"/>
      <w:pgMar w:top="893" w:right="567" w:bottom="859" w:left="1701" w:header="468" w:footer="17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7E" w:rsidRDefault="0085077E">
      <w:r>
        <w:separator/>
      </w:r>
    </w:p>
  </w:endnote>
  <w:endnote w:type="continuationSeparator" w:id="0">
    <w:p w:rsidR="0085077E" w:rsidRDefault="0085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3" w:rsidRDefault="001C51D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7E" w:rsidRDefault="0085077E">
      <w:r>
        <w:separator/>
      </w:r>
    </w:p>
  </w:footnote>
  <w:footnote w:type="continuationSeparator" w:id="0">
    <w:p w:rsidR="0085077E" w:rsidRDefault="0085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D3" w:rsidRDefault="001C51D3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496"/>
    <w:multiLevelType w:val="multilevel"/>
    <w:tmpl w:val="DAC43B4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51D3"/>
    <w:rsid w:val="001C51D3"/>
    <w:rsid w:val="004E30B3"/>
    <w:rsid w:val="008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f0">
    <w:name w:val="Символ нумерации"/>
    <w:qFormat/>
  </w:style>
  <w:style w:type="character" w:customStyle="1" w:styleId="af1">
    <w:name w:val="Символ сноски"/>
    <w:qFormat/>
  </w:style>
  <w:style w:type="character" w:customStyle="1" w:styleId="af2">
    <w:name w:val="Привязка сноски"/>
    <w:rPr>
      <w:vertAlign w:val="superscript"/>
    </w:rPr>
  </w:style>
  <w:style w:type="character" w:styleId="af3">
    <w:name w:val="FollowedHyperlink"/>
    <w:basedOn w:val="a0"/>
    <w:qFormat/>
    <w:rPr>
      <w:rFonts w:cs="Times New Roman"/>
      <w:color w:val="800080"/>
      <w:u w:val="single"/>
    </w:rPr>
  </w:style>
  <w:style w:type="character" w:customStyle="1" w:styleId="af4">
    <w:name w:val="Посещённая гиперссылка"/>
    <w:rPr>
      <w:color w:val="800000"/>
      <w:u w:val="single"/>
    </w:rPr>
  </w:style>
  <w:style w:type="paragraph" w:customStyle="1" w:styleId="af5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styleId="afa">
    <w:name w:val="Subtitle"/>
    <w:basedOn w:val="a"/>
    <w:next w:val="a"/>
    <w:qFormat/>
    <w:pPr>
      <w:spacing w:after="60"/>
      <w:jc w:val="center"/>
      <w:outlineLvl w:val="1"/>
    </w:pPr>
  </w:style>
  <w:style w:type="paragraph" w:styleId="afb">
    <w:name w:val="No Spacing"/>
    <w:basedOn w:val="a"/>
    <w:qFormat/>
    <w:rPr>
      <w:szCs w:val="32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d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e">
    <w:name w:val="toa heading"/>
    <w:basedOn w:val="1"/>
    <w:next w:val="a"/>
    <w:pPr>
      <w:numPr>
        <w:numId w:val="0"/>
      </w:numPr>
      <w:ind w:firstLine="709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6"/>
      <w:szCs w:val="26"/>
      <w:lang w:bidi="ar-SA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Содержимое врезки"/>
    <w:basedOn w:val="a"/>
    <w:qFormat/>
  </w:style>
  <w:style w:type="paragraph" w:customStyle="1" w:styleId="aff4">
    <w:name w:val="Заголовок таблицы"/>
    <w:basedOn w:val="aff2"/>
    <w:qFormat/>
  </w:style>
  <w:style w:type="paragraph" w:styleId="aff5">
    <w:name w:val="footnote text"/>
    <w:basedOn w:val="a"/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705124EAF3626ED388522C8896941C769DD0F002248B40022DEC2D029360D1174F95D1818AA08611D6ED7DFkDA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F8126FB3F9DE906BBD46A892B6085B360878A82DF82EC9F7FCBFFA92B0617B77BD795F93BDF9C9CB843CFB0065698DCEEFB53530B5067C747A44AK7R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705124EAF3626ED389B2FDEE5374EC36A8403002543E35573D8958F7930584334A7045B54B90965036DD4DFDBF2D58E4C979667122160177F0F84kDA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5</Pages>
  <Words>1732</Words>
  <Characters>9873</Characters>
  <Application>Microsoft Office Word</Application>
  <DocSecurity>0</DocSecurity>
  <Lines>82</Lines>
  <Paragraphs>23</Paragraphs>
  <ScaleCrop>false</ScaleCrop>
  <Company>КонсультантПлюс Версия 4020.00.28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13.07.2015 N 220-ФЗ(ред. от 08.06.2020)"Об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dc:title>
  <dc:subject/>
  <dc:creator>SamLab.ws</dc:creator>
  <dc:description/>
  <cp:lastModifiedBy>Микрюкова Елена Владимировна</cp:lastModifiedBy>
  <cp:revision>279</cp:revision>
  <cp:lastPrinted>2020-10-06T14:07:00Z</cp:lastPrinted>
  <dcterms:created xsi:type="dcterms:W3CDTF">2020-09-15T11:17:00Z</dcterms:created>
  <dcterms:modified xsi:type="dcterms:W3CDTF">2020-10-20T05:03:00Z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???? ?????????">
    <vt:lpwstr>[Дата документа]</vt:lpwstr>
  </property>
  <property fmtid="{D5CDD505-2E9C-101B-9397-08002B2CF9AE}" pid="6" name="?*???????????...*???????">
    <vt:lpwstr>[Телефон]</vt:lpwstr>
  </property>
  <property fmtid="{D5CDD505-2E9C-101B-9397-08002B2CF9AE}" pid="7" name="?*???????????...*??????? ?.?.">
    <vt:lpwstr>[Фамилия И.О.]</vt:lpwstr>
  </property>
  <property fmtid="{D5CDD505-2E9C-101B-9397-08002B2CF9AE}" pid="8" name="????">
    <vt:lpwstr>[Тема]</vt:lpwstr>
  </property>
  <property fmtid="{D5CDD505-2E9C-101B-9397-08002B2CF9AE}" pid="9" name="? ?????????">
    <vt:lpwstr/>
  </property>
</Properties>
</file>