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Извлечение из Порядка  </w:t>
      </w:r>
      <w:r>
        <w:rPr>
          <w:rFonts w:ascii="Times New Roman" w:hAnsi="Times New Roman"/>
          <w:b/>
          <w:color w:val="000000"/>
          <w:sz w:val="24"/>
          <w:lang w:val="ru-RU"/>
        </w:rPr>
        <w:t xml:space="preserve"> предоставления субсидий из бюджета Уватского муниципального района социально ориентированным некоммерческим организациям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(далее - Порядок)</w:t>
      </w:r>
    </w:p>
    <w:p>
      <w:pPr>
        <w:pStyle w:val="Normal"/>
        <w:ind w:firstLine="567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</w:r>
    </w:p>
    <w:p>
      <w:pPr>
        <w:pStyle w:val="Normal"/>
        <w:ind w:firstLine="567"/>
        <w:rPr/>
      </w:pPr>
      <w:r>
        <w:rPr>
          <w:rFonts w:eastAsia="Times New Roman" w:cs="Arial"/>
          <w:b/>
          <w:bCs/>
          <w:color w:val="000000"/>
          <w:sz w:val="26"/>
          <w:szCs w:val="24"/>
          <w:lang w:val="ru-RU" w:eastAsia="zh-CN" w:bidi="en-US"/>
        </w:rPr>
        <w:t xml:space="preserve">Приоритетным направлением конкурса является </w:t>
      </w:r>
      <w:r>
        <w:rPr>
          <w:rFonts w:ascii="Times New Roman" w:hAnsi="Times New Roman"/>
          <w:b/>
          <w:sz w:val="24"/>
          <w:lang w:val="ru-RU"/>
        </w:rPr>
        <w:t>:</w:t>
      </w:r>
    </w:p>
    <w:p>
      <w:pPr>
        <w:pStyle w:val="Style23"/>
        <w:suppressAutoHyphens w:val="false"/>
        <w:spacing w:before="220" w:after="0"/>
        <w:ind w:firstLine="540"/>
        <w:contextualSpacing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eastAsia="ru-RU"/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  <w:lang w:val="ru-RU" w:eastAsia="ru-RU"/>
        </w:rPr>
        <w:t>«</w:t>
      </w:r>
      <w:r>
        <w:rPr>
          <w:rStyle w:val="2"/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  <w:lang w:val="ru-RU" w:eastAsia="ru-RU"/>
        </w:rPr>
        <w:t>Д</w:t>
      </w:r>
      <w:r>
        <w:rPr>
          <w:rStyle w:val="2"/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lang w:val="ru-RU" w:eastAsia="ru-RU"/>
        </w:rPr>
        <w:t>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</w:r>
      <w:r>
        <w:rPr>
          <w:rStyle w:val="2"/>
          <w:rFonts w:eastAsia="Arial" w:cs="Arial"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  <w:lang w:val="ru-RU" w:eastAsia="ru-RU" w:bidi="ar-SA"/>
        </w:rPr>
        <w:t>».</w:t>
      </w:r>
    </w:p>
    <w:p>
      <w:pPr>
        <w:pStyle w:val="Normal"/>
        <w:ind w:firstLine="567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</w:r>
    </w:p>
    <w:p>
      <w:pPr>
        <w:pStyle w:val="ConsPlusNormal"/>
        <w:spacing w:before="220" w:after="0"/>
        <w:ind w:left="0" w:right="0" w:hanging="0"/>
        <w:contextualSpacing/>
        <w:jc w:val="left"/>
        <w:rPr/>
      </w:pPr>
      <w:r>
        <w:rPr>
          <w:rFonts w:cs="Arial" w:ascii="Arial" w:hAnsi="Arial"/>
          <w:b/>
          <w:bCs/>
          <w:color w:val="000000"/>
          <w:sz w:val="26"/>
          <w:szCs w:val="24"/>
          <w:lang w:bidi="en-US"/>
        </w:rPr>
        <w:t xml:space="preserve">Требования к Участнику конкурсного отбора </w:t>
      </w:r>
      <w:r>
        <w:rPr>
          <w:rFonts w:cs="Arial" w:ascii="Times New Roman" w:hAnsi="Times New Roman"/>
          <w:b/>
          <w:bCs/>
          <w:color w:val="000000"/>
          <w:sz w:val="24"/>
          <w:szCs w:val="24"/>
          <w:lang w:val="ru-RU" w:bidi="en-US"/>
        </w:rPr>
        <w:t>:</w:t>
      </w:r>
    </w:p>
    <w:p>
      <w:pPr>
        <w:pStyle w:val="ConsPlusNormal"/>
        <w:spacing w:before="0" w:after="0"/>
        <w:ind w:left="0" w:right="0" w:firstLine="540"/>
        <w:contextualSpacing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3.1. 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Уватского муниципального района в соответствии со своими учредительными документами виды деятельности, предусмотренные пунктом  1 </w:t>
      </w:r>
      <w:hyperlink r:id="rId2">
        <w:r>
          <w:rPr>
            <w:rStyle w:val="Style16"/>
            <w:rFonts w:eastAsia="Times New Roman" w:cs="Arial" w:ascii="Arial" w:hAnsi="Arial"/>
            <w:color w:val="000000"/>
            <w:sz w:val="20"/>
            <w:szCs w:val="20"/>
            <w:u w:val="none"/>
            <w:lang w:val="ru-RU" w:eastAsia="zh-CN" w:bidi="en-US"/>
          </w:rPr>
          <w:t xml:space="preserve">статьи 31.1 </w:t>
        </w:r>
      </w:hyperlink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Федерального закона «О некоммерческих организациях».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3.2. Участниками конкурса не могут быть: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а) физические лица; 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б) коммерческие организации;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в) государственные корпорации;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г) государственные компании;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д) политические партии;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е) государственные учреждения; 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ж) муниципальные учреждения;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з) общественные объединения, не являющиеся юридическими лицами; 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и) некоммерческие организации, представители которых являются членами конкурсной комиссии; 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к) специализированные организации.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3.3 Участник конкурсного отбора  должен соответствовать следующим требованиям: 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а) участник конкурса – юридическое  лицо не должно находиться в процессе реорганизации (за исключением реорганизации в форме присоединения к юридическому лицу, являющемуся участником конкурса другого юридического лица), ликвидации, в отношении его не введена процедура банкротства, деятельность участника не приостановлена в порядке, предусмотренном законодательством Российской Федерации;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б) в реестре дисквалифицированных лиц отсутствуют сведения о дисквалифицированных руководителе, членах коллегиального исполнительного органа, лице,  исполняющем функции единоличного исполнительного органа, или главного бухгалтера участника конкурса, являющегося юридическим лицом;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в) участник конкурса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г) участник конкурса не должен получать средства из бюджета Уватского муниципального района в соответствии с иными муниципальными правовыми актами Уватского  муниципального района на цели, установленные в п. 1.4  настоящего Порядка; 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д)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В 2022 году у получателя субсидии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е) у участника конкурса отсутствует просроченная  задолженность перед бюджетом Уватского муниципального района по возврату неиспользованного остатка субсидии, а также иная просроченная (неурегулированная) задолженность по денежным обязательствам перед бюджетом Уватского муниципального района.</w:t>
      </w:r>
    </w:p>
    <w:p>
      <w:pPr>
        <w:pStyle w:val="ConsPlusNormal"/>
        <w:spacing w:before="220" w:after="0"/>
        <w:ind w:left="0" w:right="0" w:firstLine="540"/>
        <w:contextualSpacing/>
        <w:jc w:val="both"/>
        <w:rPr/>
      </w:pPr>
      <w:r>
        <w:rPr>
          <w:rFonts w:cs="Arial" w:ascii="Arial" w:hAnsi="Arial"/>
          <w:color w:val="000000"/>
          <w:sz w:val="20"/>
          <w:szCs w:val="20"/>
          <w:lang w:bidi="en-US"/>
        </w:rPr>
        <w:t>ж)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6"/>
          <w:szCs w:val="24"/>
          <w:lang w:bidi="en-US"/>
        </w:rPr>
      </w:pPr>
      <w:r>
        <w:rPr/>
      </w:r>
    </w:p>
    <w:p>
      <w:pPr>
        <w:pStyle w:val="ConsPlusNormal"/>
        <w:spacing w:before="220" w:after="0"/>
        <w:ind w:left="0" w:right="0" w:firstLine="540"/>
        <w:contextualSpacing/>
        <w:jc w:val="both"/>
        <w:rPr/>
      </w:pPr>
      <w:r>
        <w:rPr>
          <w:rFonts w:cs="Arial" w:ascii="Arial" w:hAnsi="Arial"/>
          <w:color w:val="000000"/>
          <w:sz w:val="26"/>
          <w:szCs w:val="24"/>
          <w:lang w:bidi="en-US"/>
        </w:rPr>
        <w:t xml:space="preserve">Перечень документов 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6.1. Для участия в конкурсе программ (проектов) на получение субсидий из бюджета Уватского муниципального района заявитель представляет на бумажном носителе следующую конкурсную документацию:</w:t>
      </w:r>
    </w:p>
    <w:p>
      <w:pPr>
        <w:pStyle w:val="ConsPlusNormal"/>
        <w:spacing w:before="220" w:after="0"/>
        <w:ind w:left="0" w:right="0" w:firstLine="540"/>
        <w:contextualSpacing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а) </w:t>
      </w:r>
      <w:hyperlink w:anchor="P337">
        <w:r>
          <w:rPr>
            <w:rStyle w:val="Style16"/>
            <w:rFonts w:eastAsia="Times New Roman" w:cs="Arial" w:ascii="Arial" w:hAnsi="Arial"/>
            <w:color w:val="000000"/>
            <w:sz w:val="20"/>
            <w:szCs w:val="20"/>
            <w:u w:val="none"/>
            <w:lang w:val="ru-RU" w:eastAsia="zh-CN" w:bidi="en-US"/>
          </w:rPr>
          <w:t>заявление</w:t>
        </w:r>
      </w:hyperlink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 на участие в конкурсе по форме  согласно приложению №1 к настоящему Порядку;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б) программу (проект) по форме согласно приложению №2 к настоящему Порядку;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в) смету расходов на реализацию программы (проекта), с учетом того, что средства субсидии не могут быть использованы в целях: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оказания материальной помощи, а также платных услуг населению;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проведения митингов, демонстраций, пикетирования;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реализации мероприятий, предполагающих извлечение прибыли;</w:t>
      </w:r>
    </w:p>
    <w:p>
      <w:pPr>
        <w:pStyle w:val="ConsPlusNormal"/>
        <w:spacing w:before="220" w:after="0"/>
        <w:ind w:left="0" w:right="0" w:firstLine="539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г) копию учредительных документов заявителя;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д) документ, подтверждающий полномочия лица на осуществление действий от имени заявителя (протокол решения об избрании руководителя, приказ о назначении руководителя);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е) копию отчетности, представленной заявителем в Министерство юстиции Российской Федерации (его территориальный орган) за предыдущий отчетный год (при условии, что СО НКО зарегистрировано в установленном законом порядке более одного календарного года);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ж) справку налогового органа о состоянии расчетов по налогам, сборам, страховым взносам, пеням, штрафам, процентам  на дату не ранее 30 календарных дней  до дня  подачи заявления, подтверждающую отсутствие задолженности.</w:t>
      </w:r>
    </w:p>
    <w:p>
      <w:pPr>
        <w:pStyle w:val="ConsPlusNormal"/>
        <w:spacing w:before="24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В 2022 году, при наличии у заявителя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– справку налогового органа  о состоянии расчетов по налогам, сборам, страховым взносам, пеням, штрафам, процентам на дату не ранее 30 календарных дней  до дня  подачи заявления, подтверждающую, что в 2022 году размер задолженности не превышает 300 тыс. рублей;</w:t>
      </w: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 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з) выписку из Единого государственного реестра юридических лиц со сведениями о заявителе, выданную не ранее чем за два месяца до окончания срока приема заявок на участие в конкурсе;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и) справку, подтверждающую отсутствие просроченной задолженности по возврату в бюджет Уватского муниципального района субсидий, бюджетных инвестиций, предоставленных, в том числе с иными  муниципальными правовыми актами Уватского муниципального района, и иной просроченной (неурегулированной) задолженности перед бюджетом Уватского муниципального района, подписанную руководителем и главным бухгалтером организации, на дату подачи заявки.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Документы, указанные в подпунктах «а» - «ж», «и» настоящего пункта, являются обязательными для представления претендентом.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Документ, указанный в подпункте «з» настоящего пункта, может представлен по желанию претендента. В случае непредставления указанного документа Уполномоченный орган в течение трех рабочих дней со дня регистрации заявки запрашивает у соответствующих органов необходимую информацию посредством автоматизированной системы межведомственного электронного взаимодействия (СМЭВ).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Документы, указанные в настоящем пункте, представляются на бумажном носителе или в виде отсканированных документов (сканирование осуществляется с оригиналов соответствующих документов).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Некоммерческая организация несет ответственность за достоверность документов, представленных на получение субсидии, в соответствии с действующим законодательством Российской Федерации.</w:t>
      </w:r>
    </w:p>
    <w:p>
      <w:pPr>
        <w:pStyle w:val="ConsPlusNormal"/>
        <w:spacing w:before="220" w:after="0"/>
        <w:ind w:left="0" w:right="0" w:firstLine="540"/>
        <w:contextualSpacing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 xml:space="preserve">6.2. Кроме документов, указанных в </w:t>
      </w:r>
      <w:hyperlink w:anchor="P249">
        <w:r>
          <w:rPr>
            <w:rStyle w:val="Style16"/>
            <w:rFonts w:eastAsia="Times New Roman" w:cs="Arial" w:ascii="Arial" w:hAnsi="Arial"/>
            <w:color w:val="000000"/>
            <w:sz w:val="20"/>
            <w:szCs w:val="20"/>
            <w:u w:val="none"/>
            <w:lang w:val="ru-RU" w:eastAsia="zh-CN" w:bidi="en-US"/>
          </w:rPr>
          <w:t>пункте 6.1</w:t>
        </w:r>
      </w:hyperlink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. настоящего Порядка, претендент может представить дополнительные документы и материалы о деятельности  некоммерческой организации, в том числе информацию о ранее реализованных программах (проектах).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>
      <w:pPr>
        <w:pStyle w:val="ConsPlusNormal"/>
        <w:spacing w:before="220" w:after="0"/>
        <w:ind w:firstLine="540"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zh-CN" w:bidi="en-US"/>
        </w:rPr>
      </w:r>
    </w:p>
    <w:p>
      <w:pPr>
        <w:pStyle w:val="Normal"/>
        <w:spacing w:before="0" w:after="0"/>
        <w:ind w:left="0" w:right="0" w:firstLine="540"/>
        <w:contextualSpacing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0" w:right="0" w:firstLine="540"/>
        <w:contextualSpacing/>
        <w:jc w:val="both"/>
        <w:rPr>
          <w:rFonts w:ascii="Arial" w:hAnsi="Arial" w:eastAsia="Times New Roman" w:cs="Arial"/>
          <w:b/>
          <w:b/>
          <w:bCs/>
          <w:color w:val="00000A"/>
          <w:sz w:val="26"/>
          <w:szCs w:val="24"/>
          <w:lang w:val="ru-RU" w:eastAsia="zh-CN" w:bidi="en-US"/>
        </w:rPr>
      </w:pPr>
      <w:r>
        <w:rPr>
          <w:rFonts w:eastAsia="Times New Roman" w:cs="Arial"/>
          <w:b/>
          <w:bCs/>
          <w:color w:val="00000A"/>
          <w:sz w:val="26"/>
          <w:szCs w:val="24"/>
          <w:lang w:val="ru-RU" w:eastAsia="zh-CN" w:bidi="en-US"/>
        </w:rPr>
        <w:t xml:space="preserve">Порядок подачи заявок по форме  (приложение№1 к Порядку) 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ru-RU" w:eastAsia="zh-CN" w:bidi="en-US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ru-RU" w:eastAsia="zh-CN" w:bidi="en-US"/>
        </w:rPr>
        <w:t xml:space="preserve">Для участия в конкурсе необходимо представить в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ru-RU" w:eastAsia="zh-CN" w:bidi="en-US"/>
        </w:rPr>
        <w:t>Уполномоченного органа (Управление по социальным вопросам адмнистрации Уватского МР)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ru-RU" w:eastAsia="zh-CN" w:bidi="en-US"/>
        </w:rPr>
        <w:t xml:space="preserve"> заявку, подготовленную в соответствии с настоящим Порядком.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Arial"/>
          <w:b/>
          <w:b/>
          <w:bCs/>
          <w:color w:val="00000A"/>
          <w:sz w:val="26"/>
          <w:szCs w:val="24"/>
          <w:lang w:val="ru-RU" w:eastAsia="zh-CN" w:bidi="en-US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ru-RU" w:eastAsia="zh-CN" w:bidi="en-US"/>
        </w:rPr>
        <w:t xml:space="preserve">Одна социально ориентированная некоммерческая организация может подать только одну заявку. В случае, если конкурс проводится одновременно по нескольким видам деятельности, предусмотренным </w:t>
      </w:r>
      <w:hyperlink r:id="rId3">
        <w:r>
          <w:rPr>
            <w:rStyle w:val="Style16"/>
            <w:rFonts w:eastAsia="Times New Roman" w:cs="Arial" w:ascii="Arial" w:hAnsi="Arial"/>
            <w:b w:val="false"/>
            <w:bCs w:val="false"/>
            <w:color w:val="000000"/>
            <w:sz w:val="20"/>
            <w:szCs w:val="20"/>
            <w:u w:val="none"/>
            <w:lang w:val="ru-RU" w:eastAsia="zh-CN" w:bidi="en-US"/>
          </w:rPr>
          <w:t>пунктом 1 статьи 31.1</w:t>
        </w:r>
      </w:hyperlink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ru-RU" w:eastAsia="zh-CN" w:bidi="en-US"/>
        </w:rPr>
        <w:t xml:space="preserve"> Федерального закона «О некоммерческих организациях», или приоритетным направлениям, одна социально ориентированная некоммерческая организация может подать заявки на участие в конкурсе по нескольким видам деятельности и (или) приоритетным направлениям, при этом по одному виду деятельности и приоритетному направлению подается только одна заявка.</w:t>
      </w:r>
    </w:p>
    <w:p>
      <w:pPr>
        <w:pStyle w:val="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/>
          <w:b w:val="false"/>
          <w:bCs w:val="false"/>
          <w:color w:val="000000"/>
          <w:sz w:val="20"/>
          <w:szCs w:val="20"/>
          <w:lang w:val="ru-RU" w:eastAsia="zh-CN" w:bidi="en-US"/>
        </w:rPr>
        <w:t>Заявка на участие в конкурсе представляется в Уполномоченный орган непосредственно, или направляется по почте заказным письмом с уведомлением о вручении.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ru-RU" w:eastAsia="zh-CN" w:bidi="en-US"/>
        </w:rPr>
        <w:t xml:space="preserve">При приеме заявки на участие в конкурсе, поданной непосредственно заявителем, ответственный сотрудник Уполномоченного  органа регистрирует ее в день поступления в соответствующем журнале регистрации и одновременно выдает расписку с указанием даты регистрации, регистрационного номера и перечня принятых документов. 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ru-RU" w:eastAsia="zh-CN" w:bidi="en-US"/>
        </w:rPr>
        <w:t xml:space="preserve">При поступлении заявки на участие в конкурсе, направленной по электронной почте,  регистрация заявки сотрудником Уполномоченного  органа осуществляется в течение одного рабочего дня со дня поступления в соответствующем электронном журнале регистрации в системе «DIRECTUM»,  расписка в получении заявки не составляется и не выдается.  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ru-RU" w:eastAsia="zh-CN" w:bidi="en-US"/>
        </w:rPr>
        <w:t>Заявка на участие в конкурсе, поступившая в Уполномоченный орган после окончания срока приема заявок (в том числе по электронной почте), не регистрируется и к участию в конкурсе не допускается.</w:t>
      </w:r>
    </w:p>
    <w:p>
      <w:pPr>
        <w:pStyle w:val="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/>
          <w:b w:val="false"/>
          <w:bCs w:val="false"/>
          <w:color w:val="000000"/>
          <w:sz w:val="20"/>
          <w:szCs w:val="20"/>
          <w:lang w:val="ru-RU" w:eastAsia="zh-CN" w:bidi="en-US"/>
        </w:rPr>
        <w:t>Поданные на участие в конкурсе заявки в течение 10 рабочих дней со дня окончания приема заявок проверяются Уполномоченным органом на соответствие требованиям, установленным настоящим Порядком.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ru-RU" w:eastAsia="zh-CN" w:bidi="en-US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ru-RU" w:eastAsia="zh-CN" w:bidi="en-US"/>
        </w:rPr>
        <w:t>В срок не позднее 12 рабочих дней со дня окончания приема заявок Уполномоченный орган утверждает список заявителей, не допущенных к участию в конкурсе, и уведомляет об этом заявителей с указанием причин, послуживших основанием недопуска к участию в конкурсе.</w:t>
      </w:r>
    </w:p>
    <w:p>
      <w:pPr>
        <w:pStyle w:val="Normal"/>
        <w:spacing w:before="0" w:after="0"/>
        <w:ind w:left="0" w:right="0" w:firstLine="540"/>
        <w:contextualSpacing/>
        <w:jc w:val="both"/>
        <w:rPr>
          <w:rFonts w:ascii="Arial" w:hAnsi="Arial" w:cs="Arial"/>
          <w:b/>
          <w:b/>
          <w:bCs/>
          <w:color w:val="000000"/>
          <w:sz w:val="20"/>
          <w:szCs w:val="20"/>
          <w:lang w:val="ru-RU" w:bidi="en-US"/>
        </w:rPr>
      </w:pPr>
      <w:r>
        <w:rPr/>
      </w:r>
    </w:p>
    <w:p>
      <w:pPr>
        <w:pStyle w:val="ConsPlusNormal"/>
        <w:spacing w:before="220" w:after="0"/>
        <w:ind w:left="0" w:right="0" w:firstLine="540"/>
        <w:contextualSpacing/>
        <w:jc w:val="left"/>
        <w:rPr/>
      </w:pPr>
      <w:r>
        <w:rPr>
          <w:rFonts w:cs="Arial" w:ascii="Arial" w:hAnsi="Arial"/>
          <w:b/>
          <w:bCs/>
          <w:sz w:val="26"/>
          <w:szCs w:val="24"/>
          <w:lang w:bidi="en-US"/>
        </w:rPr>
        <w:t xml:space="preserve">Порядок отзыва заявок и внесение изменений в заявки участников конкурса </w:t>
      </w:r>
      <w:bookmarkStart w:id="0" w:name="__DdeLink__155604_1305579567"/>
      <w:bookmarkEnd w:id="0"/>
      <w:r>
        <w:rPr>
          <w:rFonts w:cs="Arial" w:ascii="Arial" w:hAnsi="Arial"/>
          <w:b/>
          <w:bCs/>
          <w:color w:val="000000"/>
          <w:sz w:val="26"/>
          <w:szCs w:val="24"/>
          <w:lang w:val="ru-RU" w:bidi="en-US"/>
        </w:rPr>
        <w:t>:</w:t>
      </w:r>
    </w:p>
    <w:p>
      <w:pPr>
        <w:pStyle w:val="ConsPlusNormal"/>
        <w:spacing w:before="220" w:after="0"/>
        <w:ind w:left="0" w:right="0" w:firstLine="540"/>
        <w:contextualSpacing/>
        <w:jc w:val="center"/>
        <w:rPr>
          <w:rFonts w:ascii="Arial" w:hAnsi="Arial" w:cs="Arial"/>
          <w:sz w:val="26"/>
          <w:szCs w:val="24"/>
          <w:lang w:bidi="en-US"/>
        </w:rPr>
      </w:pPr>
      <w:r>
        <w:rPr>
          <w:rFonts w:cs="Arial" w:ascii="Arial" w:hAnsi="Arial"/>
          <w:sz w:val="26"/>
          <w:szCs w:val="24"/>
          <w:lang w:bidi="en-US"/>
        </w:rPr>
      </w:r>
    </w:p>
    <w:p>
      <w:pPr>
        <w:pStyle w:val="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6"/>
          <w:szCs w:val="24"/>
          <w:lang w:bidi="en-US"/>
        </w:rPr>
      </w:pPr>
      <w:r>
        <w:rPr>
          <w:rFonts w:cs="Arial"/>
          <w:color w:val="000000"/>
          <w:sz w:val="26"/>
          <w:szCs w:val="24"/>
          <w:lang w:bidi="en-US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val="ru-RU" w:eastAsia="ru-RU" w:bidi="ar-SA"/>
        </w:rPr>
        <w:t>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 НКО. Отозванные заявки не учитываются при определении количества заявок, представленных на участие в конкурсе.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ru-RU"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ru-RU" w:bidi="ar-SA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комиссии.</w:t>
      </w:r>
    </w:p>
    <w:p>
      <w:pPr>
        <w:pStyle w:val="ConsPlusNormal"/>
        <w:spacing w:before="220" w:after="0"/>
        <w:ind w:left="0" w:right="0" w:hanging="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ru-RU"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ru-RU" w:bidi="ar-SA"/>
        </w:rPr>
        <w:t xml:space="preserve">  </w:t>
      </w:r>
      <w:r>
        <w:rPr>
          <w:rFonts w:eastAsia="Times New Roman" w:cs="Arial" w:ascii="Arial" w:hAnsi="Arial"/>
          <w:color w:val="000000"/>
          <w:sz w:val="20"/>
          <w:szCs w:val="20"/>
          <w:lang w:val="ru-RU" w:eastAsia="ru-RU" w:bidi="ar-SA"/>
        </w:rPr>
        <w:t>Поданные на участие в конкурсе заявки в течение 10 рабочих дней со дня окончания приема заявок проверяются Уполномоченным органом на соответствие требованиям, установленным настоящим Порядком.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lang w:val="ru-RU" w:eastAsia="ru-RU"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ru-RU" w:eastAsia="ru-RU" w:bidi="ar-SA"/>
        </w:rPr>
        <w:t>В срок не позднее 12 рабочих дней со дня окончания приема заявок Уполномоченный орган утверждает список заявителей, не допущенных к участию в конкурсе, и уведомляет об этом заявителей с указанием причин, послуживших основанием недопуска к участию в конкурсе.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6"/>
          <w:szCs w:val="24"/>
          <w:lang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 w:bidi="ar-SA"/>
        </w:rPr>
        <w:t>Уведомление о недопуске к участию в конкурсе направляется в течение двух рабочих дней со дня утверждения списка заявителей, не допущенных к участию в конкурсе, на почтовый и/или электронный адреса, указанные в заявке, с указанием оснований для принятия такого решения.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</w:r>
    </w:p>
    <w:p>
      <w:pPr>
        <w:pStyle w:val="ConsPlusNormal"/>
        <w:spacing w:before="220" w:after="0"/>
        <w:ind w:left="0" w:right="0" w:firstLine="540"/>
        <w:contextualSpacing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6"/>
          <w:szCs w:val="24"/>
          <w:lang w:eastAsia="ru-RU" w:bidi="ar-SA"/>
        </w:rPr>
        <w:t xml:space="preserve">Порядок предоставления разъяснений </w:t>
      </w:r>
      <w:r>
        <w:rPr>
          <w:rFonts w:eastAsia="Times New Roman" w:cs="Arial" w:ascii="Arial" w:hAnsi="Arial"/>
          <w:b/>
          <w:bCs/>
          <w:color w:val="000000"/>
          <w:sz w:val="26"/>
          <w:szCs w:val="24"/>
          <w:lang w:val="ru-RU" w:eastAsia="ru-RU" w:bidi="en-US"/>
        </w:rPr>
        <w:t>: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 w:bidi="ar-SA"/>
        </w:rPr>
        <w:t>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</w:r>
    </w:p>
    <w:p>
      <w:pPr>
        <w:pStyle w:val="Normal"/>
        <w:ind w:firstLine="567"/>
        <w:rPr/>
      </w:pPr>
      <w:r>
        <w:rPr>
          <w:rFonts w:eastAsia="Times New Roman" w:cs="Arial"/>
          <w:b/>
          <w:bCs/>
          <w:color w:val="000000"/>
          <w:sz w:val="26"/>
          <w:szCs w:val="24"/>
          <w:lang w:val="ru-RU" w:eastAsia="ru-RU" w:bidi="ar-SA"/>
        </w:rPr>
        <w:t>Конкурсная комиссия рассматривает поступившие заявки и осуществляет оценку программ (проектов) по следующим группам критериев :</w:t>
      </w:r>
    </w:p>
    <w:p>
      <w:pPr>
        <w:pStyle w:val="Normal"/>
        <w:ind w:firstLine="567"/>
        <w:rPr>
          <w:rFonts w:ascii="Times New Roman" w:hAnsi="Times New Roman"/>
          <w:b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</w:r>
    </w:p>
    <w:p>
      <w:pPr>
        <w:pStyle w:val="Normal"/>
        <w:ind w:firstLine="567"/>
        <w:rPr>
          <w:rFonts w:ascii="Times New Roman" w:hAnsi="Times New Roman"/>
          <w:b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</w:r>
    </w:p>
    <w:tbl>
      <w:tblPr>
        <w:tblW w:w="9168" w:type="dxa"/>
        <w:jc w:val="left"/>
        <w:tblInd w:w="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2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59"/>
        <w:gridCol w:w="8708"/>
      </w:tblGrid>
      <w:tr>
        <w:trPr/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rFonts w:eastAsia="Times New Roman" w:cs="Arial"/>
                <w:sz w:val="20"/>
                <w:szCs w:val="20"/>
                <w:lang w:bidi="en-US"/>
              </w:rPr>
              <w:t>К критериям значимости и актуальности программы (проекта) относятся следующие показатели оценки: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bidi="en-US"/>
              </w:rPr>
              <w:t>а) соответствие программы (проекта) видам деятельности, предусмотренным приоритетным направлением конкурса;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bidi="en-US"/>
              </w:rPr>
              <w:t>б) значимость, актуальность и реалистичность конкретных задач, на решение которых направлена программа (проект);</w:t>
            </w:r>
          </w:p>
        </w:tc>
      </w:tr>
      <w:tr>
        <w:trPr/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rFonts w:eastAsia="Times New Roman" w:cs="Arial"/>
                <w:color w:val="00000A"/>
                <w:sz w:val="20"/>
                <w:szCs w:val="20"/>
                <w:lang w:val="ru-RU" w:eastAsia="zh-CN" w:bidi="en-US"/>
              </w:rPr>
              <w:t>К критериям экономической эффективности относятся следующие показатели оценки: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а) логичность мероприятий  программы (проекта) последовательность и взаимосвязь мероприятий;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б) обоснованность расходов на реализацию программы (проекта);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в) наличие предполагаемых поступлений на реализацию программы (проекта)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</w:t>
            </w:r>
          </w:p>
        </w:tc>
      </w:tr>
      <w:tr>
        <w:trPr/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Arial" w:ascii="Arial" w:hAnsi="Arial"/>
              </w:rPr>
              <w:t>3.</w:t>
            </w: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rFonts w:eastAsia="Times New Roman" w:cs="Arial"/>
                <w:color w:val="00000A"/>
                <w:sz w:val="20"/>
                <w:szCs w:val="20"/>
                <w:lang w:val="ru-RU" w:eastAsia="zh-CN" w:bidi="en-US"/>
              </w:rPr>
              <w:t>К критериям социальной эффективности относятся следующие показатели оценки: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а) степ</w:t>
            </w: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е</w:t>
            </w: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нь влияния мероприятий программы на улучшение состояние целевой группы;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б) соответствие ожидаемых результатов реализации программы (проекта) запланированным мероприятиям.</w:t>
            </w:r>
          </w:p>
          <w:p>
            <w:pPr>
              <w:pStyle w:val="ConsPlusNormal"/>
              <w:ind w:left="0" w:right="0" w:firstLine="54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ru-RU" w:eastAsia="zh-CN" w:bidi="en-US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Arial" w:ascii="Arial" w:hAnsi="Arial"/>
              </w:rPr>
              <w:t>4.</w:t>
            </w: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rFonts w:eastAsia="Times New Roman" w:cs="Arial"/>
                <w:color w:val="00000A"/>
                <w:sz w:val="20"/>
                <w:szCs w:val="20"/>
                <w:lang w:val="ru-RU" w:eastAsia="zh-CN" w:bidi="en-US"/>
              </w:rPr>
              <w:t>К критериям профессиональной компетенции относятся следующие показатели оценки: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а) наличие у участника конкурса опыта использования целевых поступлений;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б)наличие у участника конкурса партнерских отношений с юридическими лицами (независимо от организационно-правовой формы), индивидуальными предпринимателями, физическими лицами;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в)наличие информации о деятельности участника конкурса в информационно-телекоммуникационной сети Интернет, средствах массовой информации</w:t>
            </w:r>
          </w:p>
        </w:tc>
      </w:tr>
    </w:tbl>
    <w:p>
      <w:pPr>
        <w:pStyle w:val="Normal"/>
        <w:ind w:firstLine="567"/>
        <w:rPr>
          <w:rFonts w:ascii="Times New Roman" w:hAnsi="Times New Roman"/>
          <w:b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</w:r>
    </w:p>
    <w:p>
      <w:pPr>
        <w:pStyle w:val="ConsPlusNormal"/>
        <w:ind w:firstLine="540"/>
        <w:jc w:val="both"/>
        <w:rPr/>
      </w:pPr>
      <w:r>
        <w:rPr>
          <w:rFonts w:cs="Arial" w:ascii="Arial" w:hAnsi="Arial"/>
        </w:rPr>
        <w:t>Примечание:</w:t>
      </w:r>
    </w:p>
    <w:p>
      <w:pPr>
        <w:pStyle w:val="ConsPlusNormal"/>
        <w:ind w:left="0" w:right="0" w:firstLine="5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Для оценки программы (проекта) к каждому показателю оценки, входящему в критерий оценки, применяется 2-балльная шкала, где учитываются:</w:t>
      </w:r>
    </w:p>
    <w:p>
      <w:pPr>
        <w:pStyle w:val="ConsPlusNormal"/>
        <w:spacing w:before="220" w:after="0"/>
        <w:ind w:left="0" w:right="0" w:firstLine="5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0 - не удовлетворяет показателю оценки;</w:t>
      </w:r>
    </w:p>
    <w:p>
      <w:pPr>
        <w:pStyle w:val="ConsPlusNormal"/>
        <w:spacing w:before="220" w:after="0"/>
        <w:ind w:left="0" w:right="0" w:firstLine="5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1 - частично удовлетворяет показателю оценки;</w:t>
      </w:r>
    </w:p>
    <w:p>
      <w:pPr>
        <w:pStyle w:val="ConsPlusNormal"/>
        <w:spacing w:before="220" w:after="0"/>
        <w:ind w:left="0" w:right="0" w:firstLine="5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2 - полностью удовлетворяет показателю оценки.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257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Arial" w:hAnsi="Arial" w:eastAsia="Times New Roman" w:cs="Times New Roman"/>
      <w:color w:val="00000A"/>
      <w:sz w:val="26"/>
      <w:szCs w:val="24"/>
      <w:lang w:val="en-US" w:eastAsia="zh-CN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c26257"/>
    <w:rPr/>
  </w:style>
  <w:style w:type="character" w:styleId="Style14" w:customStyle="1">
    <w:name w:val="Основной текст Знак"/>
    <w:basedOn w:val="DefaultParagraphFont"/>
    <w:link w:val="a3"/>
    <w:qFormat/>
    <w:rsid w:val="00c26257"/>
    <w:rPr>
      <w:rFonts w:ascii="Arial" w:hAnsi="Arial" w:eastAsia="Times New Roman" w:cs="Times New Roman"/>
      <w:sz w:val="26"/>
      <w:szCs w:val="24"/>
      <w:lang w:val="en-US" w:eastAsia="zh-CN" w:bidi="en-US"/>
    </w:rPr>
  </w:style>
  <w:style w:type="character" w:styleId="Style15" w:customStyle="1">
    <w:name w:val="Верхний колонтитул Знак"/>
    <w:basedOn w:val="DefaultParagraphFont"/>
    <w:link w:val="a5"/>
    <w:qFormat/>
    <w:rsid w:val="00992daf"/>
    <w:rPr>
      <w:rFonts w:ascii="Arial" w:hAnsi="Arial" w:eastAsia="Times New Roman" w:cs="Times New Roman"/>
      <w:sz w:val="26"/>
      <w:szCs w:val="24"/>
      <w:lang w:val="en-US" w:eastAsia="zh-CN" w:bidi="en-US"/>
    </w:rPr>
  </w:style>
  <w:style w:type="character" w:styleId="Style16">
    <w:name w:val="Интернет-ссылка"/>
    <w:rsid w:val="00325774"/>
    <w:rPr>
      <w:color w:val="0000FF"/>
      <w:u w:val="single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rsid w:val="00c26257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c2625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6"/>
      <w:szCs w:val="20"/>
      <w:lang w:val="ru-RU" w:eastAsia="zh-CN" w:bidi="ar-SA"/>
    </w:rPr>
  </w:style>
  <w:style w:type="paragraph" w:styleId="Style23">
    <w:name w:val="Header"/>
    <w:basedOn w:val="Normal"/>
    <w:link w:val="a6"/>
    <w:rsid w:val="00992daf"/>
    <w:pPr/>
    <w:rPr/>
  </w:style>
  <w:style w:type="paragraph" w:styleId="ConsPlusNormal" w:customStyle="1">
    <w:name w:val="ConsPlusNormal"/>
    <w:qFormat/>
    <w:rsid w:val="0032577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color w:val="00000A"/>
      <w:sz w:val="24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260BCCC232197DB45316853AAF140F86362ABA6895B36ABBEF6AEB902EAAE906569959CCA0D343425FC69FC5A56952EF77F495B89p4i1G" TargetMode="External"/><Relationship Id="rId3" Type="http://schemas.openxmlformats.org/officeDocument/2006/relationships/hyperlink" Target="consultantplus://offline/ref=33224C6B3483578BCB1C3D59A5109065D5892B79E1B5156F85E68BDEA72DC508E2BC640FB66887938FF1925013FEAAF5EFD2A1BFAAGCyED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LibreOffice/5.1.2.2$Windows_x86 LibreOffice_project/d3bf12ecb743fc0d20e0be0c58ca359301eb705f</Application>
  <Pages>4</Pages>
  <Words>1676</Words>
  <Characters>12098</Characters>
  <CharactersWithSpaces>13732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2019-12-08T14:52:00Z</dcterms:created>
  <dc:creator>User</dc:creator>
  <dc:description/>
  <dc:language>ru-RU</dc:language>
  <cp:lastModifiedBy/>
  <dcterms:modified xsi:type="dcterms:W3CDTF">2022-10-05T09:52:32Z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