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Инфраструктурные площадки для реализации инвестиционных проектов </w:t>
      </w:r>
    </w:p>
    <w:p w:rsidR="00A12FC1" w:rsidRDefault="00966456">
      <w:pPr>
        <w:pStyle w:val="a9"/>
        <w:spacing w:beforeAutospacing="0" w:after="0" w:afterAutospacing="0"/>
        <w:jc w:val="center"/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в Уватском</w:t>
      </w:r>
    </w:p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 муниципальном районе </w:t>
      </w:r>
    </w:p>
    <w:p w:rsidR="00A12FC1" w:rsidRDefault="00966456">
      <w:pPr>
        <w:pStyle w:val="a9"/>
        <w:spacing w:beforeAutospacing="0" w:after="0" w:afterAutospacing="0"/>
        <w:jc w:val="center"/>
      </w:pP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на 01.0</w:t>
      </w:r>
      <w:r w:rsidR="006A0C1F"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1</w:t>
      </w: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.202</w:t>
      </w:r>
      <w:r w:rsidR="006A0C1F"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>4</w:t>
      </w:r>
      <w:r>
        <w:rPr>
          <w:rFonts w:asciiTheme="minorHAnsi" w:eastAsiaTheme="minorEastAsia" w:hAnsi="Calibri" w:cstheme="minorBidi"/>
          <w:color w:val="2E74B5" w:themeColor="accent5" w:themeShade="BF"/>
          <w:kern w:val="2"/>
          <w:sz w:val="64"/>
          <w:szCs w:val="64"/>
        </w:rPr>
        <w:t xml:space="preserve"> г. </w:t>
      </w:r>
    </w:p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A12FC1"/>
    <w:p w:rsidR="00A12FC1" w:rsidRDefault="00966456">
      <w:pPr>
        <w:pStyle w:val="a9"/>
        <w:spacing w:beforeAutospacing="0" w:after="0" w:afterAutospacing="0"/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</w:pPr>
      <w:r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  <w:t xml:space="preserve">По вопросам  предоставления  </w:t>
      </w:r>
    </w:p>
    <w:p w:rsidR="00A12FC1" w:rsidRDefault="00966456">
      <w:pPr>
        <w:pStyle w:val="a9"/>
        <w:spacing w:beforeAutospacing="0" w:after="0" w:afterAutospacing="0"/>
        <w:rPr>
          <w:sz w:val="22"/>
          <w:szCs w:val="22"/>
        </w:rPr>
      </w:pPr>
      <w:r>
        <w:rPr>
          <w:rFonts w:eastAsiaTheme="minorEastAsia"/>
          <w:b/>
          <w:bCs/>
          <w:color w:val="2E74B5" w:themeColor="accent5" w:themeShade="BF"/>
          <w:kern w:val="2"/>
          <w:sz w:val="28"/>
          <w:szCs w:val="28"/>
          <w:u w:val="single"/>
        </w:rPr>
        <w:t>инфраструктурных  площадок  обращаться: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Коротких Мария Васильевна, 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начальник управления имущественных 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>отношений и земельных ресурсов</w:t>
      </w:r>
    </w:p>
    <w:p w:rsidR="00A12FC1" w:rsidRDefault="00966456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>тел.: 8(34561)28108</w:t>
      </w:r>
    </w:p>
    <w:p w:rsidR="00A12FC1" w:rsidRDefault="00966456">
      <w:pPr>
        <w:contextualSpacing/>
      </w:pPr>
      <w:r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  <w:t xml:space="preserve">адрес эл. почты: </w:t>
      </w:r>
      <w:r w:rsidR="00905528" w:rsidRPr="00905528">
        <w:rPr>
          <w:rFonts w:ascii="Arial" w:hAnsi="Arial" w:cs="Arial"/>
          <w:color w:val="0070C0"/>
          <w:sz w:val="26"/>
          <w:szCs w:val="26"/>
        </w:rPr>
        <w:t>zemli2023@yandex.ru</w:t>
      </w:r>
      <w:bookmarkStart w:id="0" w:name="_GoBack"/>
      <w:bookmarkEnd w:id="0"/>
    </w:p>
    <w:p w:rsidR="00A12FC1" w:rsidRDefault="00A12FC1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</w:p>
    <w:p w:rsidR="00A12FC1" w:rsidRDefault="00A12FC1">
      <w:pPr>
        <w:contextualSpacing/>
        <w:rPr>
          <w:rFonts w:ascii="Times New Roman" w:eastAsiaTheme="minorEastAsia" w:hAnsi="Times New Roman" w:cs="Times New Roman"/>
          <w:color w:val="2E74B5" w:themeColor="accent5" w:themeShade="BF"/>
          <w:kern w:val="2"/>
          <w:sz w:val="28"/>
          <w:szCs w:val="28"/>
          <w:lang w:eastAsia="ru-RU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Земельный участок № 1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Уватский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район,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Туртасское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сельское поселение, поселок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Туртас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, микрорайон Дорожников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72:18:0901002:2341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8 520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магазины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делового, общественного и коммерческого назначения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Объекты культурно-досуговой деятельности (3.6.1); Парки культуры и отдыха (3.6.2);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(4.3); 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AE49D1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отсутствует</w:t>
            </w:r>
          </w:p>
        </w:tc>
      </w:tr>
      <w:tr w:rsidR="00A12FC1">
        <w:trPr>
          <w:trHeight w:val="106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pStyle w:val="a9"/>
              <w:spacing w:beforeAutospacing="0" w:after="0" w:afterAutospacing="0" w:line="252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АО «СУЭНКО» 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ф. Поселок-1, ф</w:t>
            </w:r>
            <w:proofErr w:type="gram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.-</w:t>
            </w:r>
            <w:proofErr w:type="gram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Поселок-2 (удаленность 300м) по поселок-1 по АТП отпущено 1,3598 МВт,  по поселок-2 отпущено по АРБП 0,665 МВт.  </w:t>
            </w:r>
          </w:p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АО «РЖД»: ВЛ-10кВт на ТП-4 (удаленность 65м) (ТП-4 РЖД 400м)</w:t>
            </w:r>
          </w:p>
        </w:tc>
      </w:tr>
      <w:tr w:rsidR="00A12FC1">
        <w:trPr>
          <w:trHeight w:val="514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Газопровод высокого давления (удаленность 200м). Свободная мощность от ГРС 4405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куб.метров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в час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Центральный водопровод (удаленность 250м). Резерв мощности на объекте 350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17805,10/178050,96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Схема расположения земельного участка №1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69965" cy="3860165"/>
            <wp:effectExtent l="0" t="0" r="0" b="0"/>
            <wp:docPr id="1" name="Picture 2" descr="C:\Users\ISOGD1\AppData\Local\Temp\Rar$DIa0.941\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C:\Users\ISOGD1\AppData\Local\Temp\Rar$DIa0.941\234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86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6A0C1F" w:rsidRDefault="006A0C1F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2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 с. Красный Яр, Лесная, 12в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72:18:1001001:726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13 320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ВЛ</w:t>
            </w:r>
            <w:proofErr w:type="gram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– 0,4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 - 10 метров, объем свободной мощности 70 кВт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центрального водопровода поселка (удаленность - 100м). Резерв мощности на объекте 10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29140,83/291408,30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2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329680" cy="3552825"/>
            <wp:effectExtent l="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3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Уватский район, д. Солянка,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ул.Новая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, 1б 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72:18:0000000:3123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76 736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производственного использования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щебеночном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– 10 метров. КТП 10/0,4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– 130 метров. Объем свободной мощности 45 кВт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ПИР-2025 год, СМР-2026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центрального водопровода поселка (удаленность 250м).  Резерв мощности на объекте 8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134268,82/1342688,16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3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69CBF349" wp14:editId="50412105">
            <wp:extent cx="6152515" cy="3644265"/>
            <wp:effectExtent l="0" t="0" r="0" b="0"/>
            <wp:docPr id="4" name="Изображение2" descr="C:\Users\ISOGD1\AppData\Local\Temp\Rar$DIa0.168\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C:\Users\ISOGD1\AppData\Local\Temp\Rar$DIa0.168\312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E21D5E" w:rsidRDefault="00E21D5E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E21D5E" w:rsidRDefault="00E21D5E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4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Тюменская область,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Уватский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район,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Горнослинкинское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сельское поселение (возле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с.Горнослинкино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)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Координаты расположения указаны в схеме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110 000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под производственную деятельность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Имеется дорога в грунтовом покрытии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проходит в границах земельного участка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от центрально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водопровода поселка (удаленность - 370м). Резерв мощности на объекте 7 м3/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сут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.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Стоимость аренды будет установлена после перевода земельного участка из категории земель с/х назначения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4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inline distT="0" distB="0" distL="0" distR="0">
            <wp:extent cx="6547485" cy="4200525"/>
            <wp:effectExtent l="0" t="0" r="0" b="0"/>
            <wp:docPr id="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3320" w:type="dxa"/>
        <w:tblInd w:w="6629" w:type="dxa"/>
        <w:tblCellMar>
          <w:top w:w="37" w:type="dxa"/>
          <w:left w:w="37" w:type="dxa"/>
          <w:bottom w:w="37" w:type="dxa"/>
          <w:right w:w="37" w:type="dxa"/>
        </w:tblCellMar>
        <w:tblLook w:val="0600" w:firstRow="0" w:lastRow="0" w:firstColumn="0" w:lastColumn="0" w:noHBand="1" w:noVBand="1"/>
      </w:tblPr>
      <w:tblGrid>
        <w:gridCol w:w="760"/>
        <w:gridCol w:w="1280"/>
        <w:gridCol w:w="1280"/>
      </w:tblGrid>
      <w:tr w:rsidR="00A12FC1">
        <w:trPr>
          <w:trHeight w:val="301"/>
        </w:trPr>
        <w:tc>
          <w:tcPr>
            <w:tcW w:w="33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301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Координаты земельного участка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3474145,74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517387,45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3474535,35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517209,47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3474632,86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517119,96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3474585,71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517077,49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3474502,12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517077,5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3474502,12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517091,51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3474493,6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517072,62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3474469,15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517057,58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3474444,7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517033,22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3474449,47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516988,64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3474416,84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516985,68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3474384,56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516966,02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3474171,86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517021,58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3474145,74</w:t>
            </w:r>
          </w:p>
        </w:tc>
      </w:tr>
      <w:tr w:rsidR="00A12FC1">
        <w:trPr>
          <w:trHeight w:hRule="exact" w:val="302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A12FC1">
            <w:pPr>
              <w:spacing w:after="0" w:line="240" w:lineRule="auto"/>
              <w:rPr>
                <w:rFonts w:ascii="Arial" w:eastAsia="Times New Roman" w:hAnsi="Arial" w:cs="Arial"/>
                <w:sz w:val="30"/>
                <w:szCs w:val="36"/>
                <w:lang w:eastAsia="ru-RU"/>
              </w:rPr>
            </w:pP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3474181,37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516964,19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3474380,28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516953,13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3474387,71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516820,47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3474240,29</w:t>
            </w:r>
          </w:p>
        </w:tc>
      </w:tr>
      <w:tr w:rsidR="00A12FC1">
        <w:trPr>
          <w:trHeight w:val="235"/>
        </w:trPr>
        <w:tc>
          <w:tcPr>
            <w:tcW w:w="7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516945,79</w:t>
            </w:r>
          </w:p>
        </w:tc>
        <w:tc>
          <w:tcPr>
            <w:tcW w:w="12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A12FC1" w:rsidRDefault="00966456">
            <w:pPr>
              <w:spacing w:after="0" w:line="235" w:lineRule="atLeast"/>
              <w:jc w:val="center"/>
            </w:pPr>
            <w:r>
              <w:rPr>
                <w:rFonts w:ascii="Arial" w:eastAsia="DejaVu Sans" w:hAnsi="Arial" w:cs="DejaVu Sans"/>
                <w:color w:val="000000"/>
                <w:kern w:val="2"/>
                <w:sz w:val="20"/>
                <w:szCs w:val="20"/>
                <w:lang w:eastAsia="ru-RU"/>
              </w:rPr>
              <w:t>3474181,37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5</w:t>
      </w:r>
    </w:p>
    <w:tbl>
      <w:tblPr>
        <w:tblW w:w="10491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7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hAnsi="Arial" w:cs="Arial"/>
                <w:color w:val="000000" w:themeColor="text1"/>
                <w:kern w:val="2"/>
                <w:sz w:val="20"/>
                <w:szCs w:val="20"/>
              </w:rPr>
              <w:t>Муниципальная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 земельный участок № 51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72:18:1205003:260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1 134 544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сельскохозяйственное использование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сельскохозяйственного назначения (требуется перевод в категорию "земли промышленности…")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производственная, коммунально-складская зона, зона инженерно-транспортной инфраструктуры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Производственная зона (П-1)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Хранение и переработка сельскохозяйственной продукции (1.15); Предоставление коммунальных услуг (3.1.1); Административные здания организаций, обеспечивающих предоставление коммунальных услуг (3.1.2); Деловое управление (4.1); Служебные гаражи (4.9); Производственная деятельность (6.0); Недропользование (6.1); Легкая промышленность (6.3); Фармацевтическая промышленность (6.3.1); Пищевая промышленность (6.4); Нефтехимическая промышленность (6.5); Строительная промышленность (6.6); Энергетика (6.7); Склад (6.9); Складские площадки (6.9.1); Целлюлозно-бумажная промышленность (6.11); Автомобильный транспорт (7.2); Трубопроводный транспорт (7.5); Обеспечение внутреннего правопорядка (8.3); Гидротехнические сооружения (11.3);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С западной стороны участок примыкает к ФАД Тюмень-Тобольск-Ханты-Мансийск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ВЛ-10 </w:t>
            </w:r>
            <w:proofErr w:type="spellStart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кВ</w:t>
            </w:r>
            <w:proofErr w:type="spellEnd"/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проходит в 320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ПИР-2027 год, СМР-2028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отсутствует</w:t>
            </w: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7487,99/127295,84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 w:rsidP="00AF215D">
            <w:pPr>
              <w:pStyle w:val="a9"/>
              <w:spacing w:beforeAutospacing="0" w:after="0" w:afterAutospacing="0" w:line="252" w:lineRule="auto"/>
              <w:rPr>
                <w:rFonts w:ascii="Arial" w:hAnsi="Arial" w:cs="Arial"/>
                <w:color w:val="0070C0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предусмотренные статьями 56, 56.1 ЗК РФ, 72:18-6.397 (Придорожная полоса</w:t>
            </w:r>
            <w:r w:rsidR="00AF215D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 </w:t>
            </w: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Зона охраны искусственных объектов)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5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6068695" cy="4286250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6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Земельный участок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6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село Демьянское, земельный участок №15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72:18:0306002:823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3992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Гостиничное обслуживание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hAnsi="Arial"/>
                <w:sz w:val="20"/>
                <w:szCs w:val="20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Объекты культурно-досуговой деятельности (3.6.1); Парки культуры и отдыха (3.6.2);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(4.3); 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И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меется дорога с асфальтобетонным покрытием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110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ПИР-2024 год, СМР-2025 год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(удаленность 120м). Резерв мощности на объекте 40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12513,72/125137,22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Times New Roman" w:hAnsi="Arial" w:cs="Arial"/>
                <w:color w:val="0070C0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6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60515" cy="4863465"/>
            <wp:effectExtent l="0" t="0" r="0" b="0"/>
            <wp:wrapSquare wrapText="largest"/>
            <wp:docPr id="7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</w:pPr>
    </w:p>
    <w:p w:rsidR="007A4A07" w:rsidRDefault="007A4A07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>Земельный участок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7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 w:rsidP="006A0C1F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 xml:space="preserve">село Демьянское, </w:t>
            </w:r>
            <w:r w:rsidR="006A0C1F"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 xml:space="preserve">3-ий км подъездной автодороги к с.Демьянское,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земельный участок №1</w:t>
            </w:r>
            <w:r w:rsidR="006A0C1F"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4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6A0C1F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72:18:0306002:891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6A0C1F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7687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3D4FB5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Гостиничное обслуживание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hAnsi="Arial"/>
                <w:sz w:val="20"/>
                <w:szCs w:val="20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Объекты культурно-досуговой деятельности (3.6.1); Парки культуры и отдыха (3.6.2);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(4.3); 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И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>меется дорога с асфальтобетонным покрытием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110 метрах в западном направлении,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ПИР-2024 год, СМР-2025 год</w:t>
            </w:r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3C0942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(удаленность 120м). Резерв мощности на объекте 40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  <w:p w:rsidR="00A12FC1" w:rsidRPr="003C0942" w:rsidRDefault="00A12FC1">
            <w:pPr>
              <w:spacing w:after="0" w:line="240" w:lineRule="auto"/>
              <w:rPr>
                <w:rFonts w:eastAsia="Times New Roman" w:cs="Arial"/>
                <w:color w:val="0070C0"/>
                <w:kern w:val="2"/>
                <w:sz w:val="20"/>
                <w:szCs w:val="20"/>
                <w:lang w:eastAsia="ru-RU"/>
              </w:rPr>
            </w:pPr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6A0C1F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49085,34</w:t>
            </w:r>
            <w:r w:rsidR="003D4FB5">
              <w:rPr>
                <w:rFonts w:ascii="Arial" w:hAnsi="Arial"/>
                <w:sz w:val="20"/>
                <w:szCs w:val="20"/>
              </w:rPr>
              <w:t xml:space="preserve"> (начальная цена предмета аукциона)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Данные отсутствуют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E21D5E">
        <w:rPr>
          <w:rFonts w:eastAsiaTheme="minorEastAsia"/>
          <w:color w:val="0070C0"/>
          <w:kern w:val="2"/>
          <w:sz w:val="28"/>
          <w:szCs w:val="28"/>
          <w:u w:val="single"/>
        </w:rPr>
        <w:t>7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6A0C1F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inline distT="0" distB="0" distL="0" distR="0" wp14:anchorId="3CF4D088">
            <wp:extent cx="6485890" cy="54000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540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</w:pPr>
    </w:p>
    <w:p w:rsidR="009D1D7C" w:rsidRDefault="009D1D7C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966456">
      <w:pPr>
        <w:pStyle w:val="a9"/>
        <w:spacing w:beforeAutospacing="0" w:after="0" w:afterAutospacing="0"/>
        <w:ind w:left="-567" w:firstLine="141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lastRenderedPageBreak/>
        <w:t xml:space="preserve">Земельный участок № </w:t>
      </w:r>
      <w:r w:rsidR="00794327">
        <w:rPr>
          <w:rFonts w:eastAsiaTheme="minorEastAsia"/>
          <w:color w:val="0070C0"/>
          <w:kern w:val="2"/>
          <w:sz w:val="28"/>
          <w:szCs w:val="28"/>
          <w:u w:val="single"/>
        </w:rPr>
        <w:t>8</w:t>
      </w:r>
    </w:p>
    <w:tbl>
      <w:tblPr>
        <w:tblW w:w="10485" w:type="dxa"/>
        <w:tblInd w:w="-446" w:type="dxa"/>
        <w:tblCellMar>
          <w:top w:w="72" w:type="dxa"/>
          <w:left w:w="144" w:type="dxa"/>
          <w:bottom w:w="72" w:type="dxa"/>
          <w:right w:w="144" w:type="dxa"/>
        </w:tblCellMar>
        <w:tblLook w:val="0420" w:firstRow="1" w:lastRow="0" w:firstColumn="0" w:lastColumn="0" w:noHBand="0" w:noVBand="1"/>
      </w:tblPr>
      <w:tblGrid>
        <w:gridCol w:w="3274"/>
        <w:gridCol w:w="7211"/>
      </w:tblGrid>
      <w:tr w:rsidR="00A12FC1">
        <w:trPr>
          <w:trHeight w:val="196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Собственность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Calibri" w:hAnsi="Arial" w:cs="Arial"/>
                <w:color w:val="000000" w:themeColor="text1"/>
                <w:kern w:val="2"/>
                <w:sz w:val="20"/>
                <w:szCs w:val="20"/>
              </w:rPr>
              <w:t>Государственная собственность не разграничена</w:t>
            </w:r>
          </w:p>
        </w:tc>
      </w:tr>
      <w:tr w:rsidR="00A12FC1">
        <w:trPr>
          <w:trHeight w:val="23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Адресное описание земельного участка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Тюменская область, Уватский район,</w:t>
            </w:r>
            <w:r>
              <w:rPr>
                <w:rFonts w:ascii="Arial" w:eastAsia="Times New Roman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 xml:space="preserve">село Ивановка, улица </w:t>
            </w:r>
            <w:proofErr w:type="spellStart"/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Омелинская</w:t>
            </w:r>
            <w:proofErr w:type="spellEnd"/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, 29</w:t>
            </w:r>
          </w:p>
        </w:tc>
      </w:tr>
      <w:tr w:rsidR="00A12FC1">
        <w:trPr>
          <w:trHeight w:val="20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Кадастровый номер участка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72:18:0701001:923</w:t>
            </w:r>
          </w:p>
        </w:tc>
      </w:tr>
      <w:tr w:rsidR="00A12FC1">
        <w:trPr>
          <w:trHeight w:val="22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Площадь, кв. м.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4378</w:t>
            </w:r>
          </w:p>
        </w:tc>
      </w:tr>
      <w:tr w:rsidR="00A12FC1">
        <w:trPr>
          <w:trHeight w:val="24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Вид разрешенного использования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Магазины</w:t>
            </w:r>
          </w:p>
        </w:tc>
      </w:tr>
      <w:tr w:rsidR="00A12FC1">
        <w:trPr>
          <w:trHeight w:val="26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Земли населенных пунктов</w:t>
            </w:r>
          </w:p>
        </w:tc>
      </w:tr>
      <w:tr w:rsidR="00A12FC1">
        <w:trPr>
          <w:trHeight w:val="203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Генеральным планом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 xml:space="preserve">Общественно-деловая зона </w:t>
            </w:r>
          </w:p>
        </w:tc>
      </w:tr>
      <w:tr w:rsidR="00A12FC1">
        <w:trPr>
          <w:trHeight w:val="172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ПЗЗ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Общественно-деловая зона (О-1)</w:t>
            </w:r>
          </w:p>
        </w:tc>
      </w:tr>
      <w:tr w:rsidR="00A12FC1">
        <w:trPr>
          <w:trHeight w:val="388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Основные виды разрешенного использования </w:t>
            </w:r>
          </w:p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="DejaVu Sans" w:hAnsi="Arial" w:cs="Arial"/>
                <w:color w:val="0070C0"/>
                <w:kern w:val="2"/>
                <w:sz w:val="20"/>
                <w:szCs w:val="20"/>
                <w:lang w:eastAsia="ru-RU"/>
              </w:rPr>
              <w:t>(без параметров)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A12FC1" w:rsidRDefault="007A4A07" w:rsidP="007A4A07">
            <w:pPr>
              <w:spacing w:after="0" w:line="240" w:lineRule="auto"/>
              <w:jc w:val="both"/>
              <w:rPr>
                <w:rFonts w:ascii="Arial" w:hAnsi="Arial"/>
                <w:sz w:val="20"/>
                <w:szCs w:val="20"/>
              </w:rPr>
            </w:pPr>
            <w:r w:rsidRPr="007A4A07"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Предоставление коммунальных услуг (3.1.1); Административные здания организаций, обеспечивающих предоставление коммунальных услуг (3.1.2); Дома социального обслуживания (3.2.1); Оказание социальной помощи населению (3.2.2); Оказание услуг связи (3.2.3); Общежития (3.2.4); Бытовое обслуживание (3.3); Амбулаторно-поликлиническое обслуживание (3.4.1); Стационарное медицинское обслуживание (3.4.2); Дошкольное, начальное и среднее общее образование (3.5.1); Объекты культурно-досуговой деятельности (3.6.1); Парки культуры и отдыха (3.6.2); Осуществление религиозных обрядов (3.7.1); Религиозное управление и образование (3.7.2); Государственное управление (3.8.1); Обеспечение деятельности в области гидрометеорологии и смежных с ней областях (3.9.1); Проведение научных исследований (3.9.2); Амбулаторное ветеринарное обслуживание (3.10.1); Деловое управление (4.1); Рынки (4.3); Магазины (4.4); Банковская и страховая деятельность (4.5); Общественное питание (4.6); Гостиничное обслуживание (4.7); Развлекательные мероприятия (4.8.1); Обеспечение спортивно-зрелищных мероприятий (5.1.1); Обеспечение занятий спортом в помещениях (5.1.2); Площадки для занятий спортом (5.1.3); Спортивные базы (5.1.7); Обеспечение внутреннего правопорядка (8.3); Улично-дорожная сеть (12.0.1); Благоустройство территории (12.0.2)</w:t>
            </w:r>
          </w:p>
        </w:tc>
      </w:tr>
      <w:tr w:rsidR="00A12FC1">
        <w:trPr>
          <w:trHeight w:val="28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Зона в соответствии с ППТ (при наличии)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ППТ на данную территорию не утверждался</w:t>
            </w:r>
          </w:p>
        </w:tc>
      </w:tr>
      <w:tr w:rsidR="00A12FC1">
        <w:trPr>
          <w:trHeight w:val="23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Подъездные пути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/>
                <w:kern w:val="2"/>
                <w:sz w:val="20"/>
                <w:szCs w:val="20"/>
              </w:rPr>
              <w:t>отсутствует</w:t>
            </w:r>
          </w:p>
        </w:tc>
      </w:tr>
      <w:tr w:rsidR="00A12FC1">
        <w:trPr>
          <w:trHeight w:val="37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Электроснабжение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</w:pPr>
            <w:r>
              <w:rPr>
                <w:rFonts w:ascii="Arial" w:eastAsia="Times New Roman" w:hAnsi="Arial" w:cs="Arial"/>
                <w:color w:val="000000"/>
                <w:kern w:val="2"/>
                <w:sz w:val="20"/>
                <w:szCs w:val="20"/>
                <w:lang w:eastAsia="ru-RU"/>
              </w:rPr>
              <w:t>В</w:t>
            </w:r>
            <w:r>
              <w:rPr>
                <w:rFonts w:ascii="Arial" w:hAnsi="Arial"/>
                <w:color w:val="000000"/>
                <w:sz w:val="20"/>
                <w:szCs w:val="20"/>
              </w:rPr>
              <w:t xml:space="preserve">Л-10 </w:t>
            </w:r>
            <w:proofErr w:type="spellStart"/>
            <w:r>
              <w:rPr>
                <w:rFonts w:ascii="Arial" w:hAnsi="Arial"/>
                <w:color w:val="000000"/>
                <w:sz w:val="20"/>
                <w:szCs w:val="20"/>
              </w:rPr>
              <w:t>кВ</w:t>
            </w:r>
            <w:proofErr w:type="spellEnd"/>
            <w:r>
              <w:rPr>
                <w:rFonts w:ascii="Arial" w:hAnsi="Arial"/>
                <w:color w:val="000000"/>
                <w:sz w:val="20"/>
                <w:szCs w:val="20"/>
              </w:rPr>
              <w:t xml:space="preserve"> проходит в 12 метрах от участка, свободная мощность имеется</w:t>
            </w:r>
          </w:p>
        </w:tc>
      </w:tr>
      <w:tr w:rsidR="00A12FC1">
        <w:trPr>
          <w:trHeight w:val="39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Газоснабжение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kern w:val="2"/>
                <w:sz w:val="20"/>
                <w:szCs w:val="20"/>
                <w:lang w:eastAsia="ru-RU"/>
              </w:rPr>
              <w:t>Газопровод среднего давления проходит в 13 метрах от участка</w:t>
            </w:r>
          </w:p>
        </w:tc>
      </w:tr>
      <w:tr w:rsidR="00A12FC1">
        <w:trPr>
          <w:trHeight w:val="539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b/>
                <w:bCs/>
                <w:color w:val="0070C0"/>
                <w:kern w:val="2"/>
                <w:sz w:val="20"/>
                <w:szCs w:val="20"/>
                <w:lang w:eastAsia="ru-RU"/>
              </w:rPr>
              <w:t>Водоснабжение</w:t>
            </w: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Pr="003C0942" w:rsidRDefault="003C0942" w:rsidP="003C0942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Центральный водопровод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с.Береговая</w:t>
            </w:r>
            <w:proofErr w:type="spellEnd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 xml:space="preserve"> (удаленность 500м). Резерв мощности на объекте 100 м3/ </w:t>
            </w:r>
            <w:proofErr w:type="spellStart"/>
            <w:r w:rsidRPr="003C0942">
              <w:rPr>
                <w:rFonts w:ascii="Arial" w:hAnsi="Arial" w:cs="Arial"/>
                <w:color w:val="000000"/>
                <w:sz w:val="20"/>
                <w:szCs w:val="20"/>
              </w:rPr>
              <w:t>сут</w:t>
            </w:r>
            <w:proofErr w:type="spellEnd"/>
          </w:p>
        </w:tc>
      </w:tr>
      <w:tr w:rsidR="00A12FC1">
        <w:trPr>
          <w:trHeight w:val="197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Стоимость аренды, выкупа земельного участка, тыс. руб.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14486,15/144861,45</w:t>
            </w:r>
          </w:p>
        </w:tc>
      </w:tr>
      <w:tr w:rsidR="00A12FC1">
        <w:trPr>
          <w:trHeight w:val="500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Существующие ограничения (зона затопления/подтопления, охранная зона и т.д.)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</w:pPr>
            <w:r>
              <w:rPr>
                <w:rFonts w:ascii="Arial" w:eastAsia="DejaVu Sans" w:hAnsi="Arial" w:cs="Arial"/>
                <w:color w:val="000000" w:themeColor="text1"/>
                <w:kern w:val="2"/>
                <w:sz w:val="20"/>
                <w:szCs w:val="20"/>
              </w:rPr>
              <w:t>Частично: зона подтопления (72:18-6.740)</w:t>
            </w:r>
          </w:p>
        </w:tc>
      </w:tr>
      <w:tr w:rsidR="00A12FC1">
        <w:trPr>
          <w:trHeight w:val="265"/>
        </w:trPr>
        <w:tc>
          <w:tcPr>
            <w:tcW w:w="32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A12FC1" w:rsidRDefault="00966456">
            <w:pPr>
              <w:spacing w:after="0" w:line="240" w:lineRule="auto"/>
              <w:jc w:val="both"/>
            </w:pPr>
            <w:r>
              <w:rPr>
                <w:rFonts w:ascii="Arial" w:eastAsiaTheme="minorEastAsia" w:hAnsi="Arial" w:cs="Arial"/>
                <w:color w:val="0070C0"/>
                <w:kern w:val="2"/>
                <w:sz w:val="20"/>
                <w:szCs w:val="20"/>
                <w:lang w:eastAsia="ru-RU"/>
              </w:rPr>
              <w:t>Дополнительная информация</w:t>
            </w:r>
          </w:p>
        </w:tc>
        <w:tc>
          <w:tcPr>
            <w:tcW w:w="7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A12FC1" w:rsidRDefault="00966456">
            <w:pPr>
              <w:spacing w:after="0" w:line="240" w:lineRule="auto"/>
              <w:rPr>
                <w:rFonts w:ascii="Arial" w:hAnsi="Arial"/>
              </w:rPr>
            </w:pPr>
            <w:r>
              <w:rPr>
                <w:rFonts w:ascii="Arial" w:hAnsi="Arial" w:cs="Arial"/>
                <w:color w:val="0070C0"/>
                <w:kern w:val="2"/>
                <w:sz w:val="20"/>
                <w:szCs w:val="20"/>
              </w:rPr>
              <w:t> </w:t>
            </w:r>
          </w:p>
        </w:tc>
      </w:tr>
    </w:tbl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794327" w:rsidRDefault="00794327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rFonts w:eastAsiaTheme="minorEastAsia"/>
          <w:color w:val="0070C0"/>
          <w:kern w:val="2"/>
          <w:sz w:val="28"/>
          <w:szCs w:val="28"/>
          <w:u w:val="single"/>
        </w:rPr>
        <w:t>Схема расположения земельного участка №</w:t>
      </w:r>
      <w:r w:rsidR="00794327"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8</w:t>
      </w:r>
      <w:r>
        <w:rPr>
          <w:rFonts w:eastAsiaTheme="minorEastAsia"/>
          <w:color w:val="0070C0"/>
          <w:kern w:val="2"/>
          <w:sz w:val="28"/>
          <w:szCs w:val="28"/>
          <w:u w:val="single"/>
        </w:rPr>
        <w:t xml:space="preserve"> на публичной кадастровой карте</w:t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  <w:rPr>
          <w:rFonts w:eastAsiaTheme="minorEastAsia"/>
          <w:color w:val="0070C0"/>
          <w:kern w:val="2"/>
          <w:sz w:val="28"/>
          <w:szCs w:val="28"/>
          <w:u w:val="single"/>
        </w:rPr>
      </w:pPr>
    </w:p>
    <w:p w:rsidR="00A12FC1" w:rsidRDefault="00966456">
      <w:pPr>
        <w:pStyle w:val="a9"/>
        <w:spacing w:beforeAutospacing="0" w:after="0" w:afterAutospacing="0"/>
        <w:ind w:left="-567" w:firstLine="141"/>
        <w:jc w:val="center"/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660515" cy="4925060"/>
            <wp:effectExtent l="0" t="0" r="0" b="0"/>
            <wp:wrapSquare wrapText="largest"/>
            <wp:docPr id="10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92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p w:rsidR="00A12FC1" w:rsidRDefault="00A12FC1">
      <w:pPr>
        <w:pStyle w:val="a9"/>
        <w:spacing w:beforeAutospacing="0" w:after="0" w:afterAutospacing="0"/>
        <w:ind w:left="-567" w:firstLine="141"/>
        <w:jc w:val="center"/>
      </w:pPr>
    </w:p>
    <w:sectPr w:rsidR="00A12FC1">
      <w:pgSz w:w="11906" w:h="16838"/>
      <w:pgMar w:top="709" w:right="850" w:bottom="1134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327"/>
  <w:characterSpacingControl w:val="doNotCompress"/>
  <w:compat>
    <w:compatSetting w:name="compatibilityMode" w:uri="http://schemas.microsoft.com/office/word" w:val="12"/>
  </w:compat>
  <w:rsids>
    <w:rsidRoot w:val="00A12FC1"/>
    <w:rsid w:val="003C0942"/>
    <w:rsid w:val="003D4FB5"/>
    <w:rsid w:val="003E2905"/>
    <w:rsid w:val="006A0C1F"/>
    <w:rsid w:val="00794327"/>
    <w:rsid w:val="007A4A07"/>
    <w:rsid w:val="007D668D"/>
    <w:rsid w:val="00905528"/>
    <w:rsid w:val="00966456"/>
    <w:rsid w:val="009D1D7C"/>
    <w:rsid w:val="00A12FC1"/>
    <w:rsid w:val="00AE49D1"/>
    <w:rsid w:val="00AF215D"/>
    <w:rsid w:val="00E21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5AB9"/>
    <w:pPr>
      <w:spacing w:after="160" w:line="259" w:lineRule="auto"/>
    </w:pPr>
    <w:rPr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D65AB9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basedOn w:val="a0"/>
    <w:uiPriority w:val="99"/>
    <w:unhideWhenUsed/>
    <w:rsid w:val="00EC397E"/>
    <w:rPr>
      <w:color w:val="0563C1" w:themeColor="hyperlink"/>
      <w:u w:val="single"/>
    </w:rPr>
  </w:style>
  <w:style w:type="paragraph" w:customStyle="1" w:styleId="a4">
    <w:name w:val="Заголовок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cs="Mangal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Mangal"/>
    </w:rPr>
  </w:style>
  <w:style w:type="paragraph" w:styleId="a9">
    <w:name w:val="Normal (Web)"/>
    <w:basedOn w:val="a"/>
    <w:uiPriority w:val="99"/>
    <w:unhideWhenUsed/>
    <w:qFormat/>
    <w:rsid w:val="00C17312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uiPriority w:val="99"/>
    <w:semiHidden/>
    <w:unhideWhenUsed/>
    <w:qFormat/>
    <w:rsid w:val="00D65AB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b">
    <w:name w:val="Содержимое таблицы"/>
    <w:basedOn w:val="a"/>
    <w:qFormat/>
    <w:pPr>
      <w:suppressLineNumbers/>
    </w:pPr>
  </w:style>
  <w:style w:type="paragraph" w:customStyle="1" w:styleId="ac">
    <w:name w:val="Заголовок таблицы"/>
    <w:basedOn w:val="ab"/>
    <w:qFormat/>
    <w:pPr>
      <w:jc w:val="center"/>
    </w:pPr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737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3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3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17</Pages>
  <Words>2984</Words>
  <Characters>17013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Анатольевич Бобров</dc:creator>
  <dc:description/>
  <cp:lastModifiedBy>ISOGD1</cp:lastModifiedBy>
  <cp:revision>21</cp:revision>
  <dcterms:created xsi:type="dcterms:W3CDTF">2023-01-17T05:38:00Z</dcterms:created>
  <dcterms:modified xsi:type="dcterms:W3CDTF">2024-01-24T07:01:00Z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