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ind w:left="0" w:hanging="0"/>
        <w:jc w:val="center"/>
        <w:outlineLvl w:val="0"/>
        <w:rPr>
          <w:color w:val="00000A"/>
        </w:rPr>
      </w:pPr>
      <w:r>
        <w:rPr>
          <w:rFonts w:cs="Arial" w:ascii="Arial" w:hAnsi="Arial"/>
          <w:b/>
          <w:bCs/>
          <w:color w:val="00000A"/>
        </w:rPr>
        <w:t>за период с 1 января 2018 г. по 31 декабря 2018 г.</w:t>
      </w:r>
    </w:p>
    <w:tbl>
      <w:tblPr>
        <w:tblW w:w="15075" w:type="dxa"/>
        <w:jc w:val="left"/>
        <w:tblInd w:w="93" w:type="dxa"/>
        <w:tblLayout w:type="fixed"/>
        <w:tblCellMar>
          <w:top w:w="55" w:type="dxa"/>
          <w:left w:w="33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2"/>
        <w:gridCol w:w="1227"/>
        <w:gridCol w:w="1546"/>
        <w:gridCol w:w="1"/>
        <w:gridCol w:w="1568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2018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4 653 852,07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в т.ч. от продажи недвижимого имущества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1 500 000,00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504 620,31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LibreOffice/7.1.4.2$Windows_x86 LibreOffice_project/a529a4fab45b75fefc5b6226684193eb000654f6</Application>
  <AppVersion>15.0000</AppVersion>
  <DocSecurity>0</DocSecurity>
  <Pages>1</Pages>
  <Words>140</Words>
  <Characters>906</Characters>
  <CharactersWithSpaces>1006</CharactersWithSpaces>
  <Paragraphs>45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cp:lastPrinted>2018-05-21T12:47:53Z</cp:lastPrinted>
  <dcterms:modified xsi:type="dcterms:W3CDTF">2022-08-30T16:17:43Z</dcterms:modified>
  <cp:revision>34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