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bottomFromText="0" w:horzAnchor="margin" w:leftFromText="180" w:rightFromText="180" w:tblpX="0" w:tblpY="-39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69"/>
        <w:gridCol w:w="4536"/>
      </w:tblGrid>
      <w:tr>
        <w:trPr>
          <w:trHeight w:val="277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СОГЛАСОВАНО: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УТВЕРЖДАЮ:</w:t>
            </w:r>
          </w:p>
        </w:tc>
      </w:tr>
      <w:tr>
        <w:trPr>
          <w:trHeight w:val="73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Главный инженер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«НК «Роснефть - НТЦ»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Начальник управления по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проектно-изыскательским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работам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«РН-Уватнефтегаз»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____________________ </w:t>
            </w:r>
            <w:r>
              <w:rPr>
                <w:rFonts w:cs="Times New Roman" w:ascii="Times New Roman" w:hAnsi="Times New Roman"/>
                <w:b/>
              </w:rPr>
              <w:t>А.А. Попов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__________________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В.И. Мокрый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 _____________</w:t>
            </w:r>
            <w:r>
              <w:rPr>
                <w:rFonts w:cs="Times New Roman" w:ascii="Times New Roman" w:hAnsi="Times New Roman"/>
                <w:b/>
              </w:rPr>
              <w:t xml:space="preserve"> 2021 г.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«_____»____________</w:t>
            </w:r>
            <w:r>
              <w:rPr>
                <w:rFonts w:cs="Times New Roman" w:ascii="Times New Roman" w:hAnsi="Times New Roman"/>
                <w:b/>
              </w:rPr>
              <w:t>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ТЕХНИЧЕСКОЕ ЗАДАНИЕ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проведение оценки воздействия на окружающую среду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Установка термической утилизации подтоварной воды на Протозановском месторождении</w:t>
      </w:r>
      <w:r>
        <w:rPr>
          <w:rFonts w:cs="Times New Roman" w:ascii="Times New Roman" w:hAnsi="Times New Roman"/>
        </w:rPr>
        <w:t>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"/>
        <w:gridCol w:w="2352"/>
        <w:gridCol w:w="6341"/>
      </w:tblGrid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документация «Установка термической утилизации подтоварной воды на Протозановском месторождении»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Заказчика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 с ограниченной ответственностью «РН-Уватнефтегаз» (ООО «РН-Уватнефтегаз»)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625000, Тюменская область, г. Тюмень, ул. Ленина, д. 67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Исполнителя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«НК «Роснефть» – НТЦ»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350000, Россия, г. Краснодар, ул. Красная, д. 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Телефон: (861) 201-74-00, факс: (861) 262-64-01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rnntc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реализации проекта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установки термической утилизации подтоварной воды на Протозановском месторождении.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объекта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Российская Федерация, Тюменская область, Уватский район, Прото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зановское месторождение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методы проведения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проведении работ по ОВОС при строительстве установки термической утилизации подтоварной воды на Протозановском месторождении используются аналоговые и расчетные методы.</w:t>
            </w:r>
          </w:p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организации процесса общественного участия в процедуре ОВОС используются следующие методы: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местного населения через средства массовой информации, предоставление технического задания и предварительных материалов ОВОС для ознакомления;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общественные обсуждения в форме слушаний.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проведения общественных обсуждений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администрации Уватского района о проведении ОВОС. Определение участников ОВОС, в том числе, круга заинтересованной общественности и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общественности о проведении ОВОС, месте и сроках доступа ТЗ на ОВОС, предварительных материалов ОВОС.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замечаний и предложений заинтересованной общественности,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общественных обсуждений в форме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учет поступивших замечаний, предложений. Составление протокола общественных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окончательного варианта ОВОС с учетом поступивших замечаний и предложений.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доступа к окончательному варианту ОВОС в течение всего срока с момента утверждения последнего варианта и до принятия решения о реализации намечаемой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Перечень проектируемых сооружений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Установка термической утилизации подтоварной воды на Протозановском месторождении. Состав сооружений в соответствии с генеральным планом.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 предприятия – круглосуточный, круглогодичный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назначение разработки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ОВОС в отношении планируемой хозяйственной деятельности, которая может оказать прямое или косвенное воздействие на окружающую среду (ст. 32 Федерального закона № 7-ФЗ «Об охране окружающей среды» от 10.01.2002 г.),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утв. Приказом Госкомэкологии РФ от 16.05.2000 г. № 372.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Предотвращение или смягчение воздействия намечаемой деятельности на окружающую среду и связанных с ней социальных, экономических и иных последствий.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задачи при выполнении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характеристик намечаемой хозяйственной деятельности как источника воздействия на окружающую среду. Рассмотрение альтернативных вариантов достижения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возможных воздействий намечаемой хозяйственной деятельности на окружающую среду в периоды: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строительных работ;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нормальной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аварийной ситуации.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оценки воздействия на состояние всех компонентов окружающей среды и изменения социально-экономических условий в результате реализации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значимости остаточных воздействий на окружающую среду и их последствий.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и учет общественных предпочтений при принятии решений.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и участие общественности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целью реализации прав граждан на информирование и участие в принятии экологически значимых решений, выявления экологических факторов на рассматриваемой территории, для учета при экологической оценке значимых воздействий, учета интересов различных групп населения, получения информации о местных условиях (с целью корректировки проекта или выработки дополнительных мер), обеспечения большей прозрачности и ответственности в принятии решений, снижения конфликтности путем раннего выявления спорных вопросов, проводятся информирование в печати и других средствах массовой информации и встречи с общественностью.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разделом 4 «Положения 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от 16.05.2000 г. № 372, общественное обсуждение намечаемой деятельности организуется Подрядчиком по поручению Заказчика, осуществляющего планируемую хозяйственную деятельность, совместно с органами местного самоуправления и Заказчиком.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Дополнительное информирование участников процесса ОВОС осуществляется путем размещения информации в периодической печати печатные СМИ федерального, регионального и местного уровней, а также размещением информации в общественной приемной на сайте администрации Уватсткого района в Интернете.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сроках и месте доступности предварительного варианта материалов по ОВОС, о дате и месте проведения общественных слушаний публикуется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не позднее, чем за 30 дней до окончания общественных слушаний.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Принятие письменных замечаний и предложений в период до принятия решения о реализации намечаемой деятельности и документирование этих предложений в приложениях к материалам по ОВОС производится в течение 30 дней после окончания общественного обсуждения. 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необходимости выполнения работ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требований действующего законодательства Российской Федерации.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нормативно-правовых актов и инструктивно-методических документов, в соответствии с которыми выполняются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Положения об оценке воздействия намечаемой хозяйственной и иной деятельности на окружающую среду в Российской Федерации. Утверждено приказом Госкомэкологии от 16.05.2000 г. № 372.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Инструкция по экологическому обоснованию хозяйственной и иной деятельности, утвержденная приказом Минприроды Росси от 29.12.1995 г. № 539.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Руководство по проведению оценки воздействия на окружающую среду (ОВОС) при выборе площадки, разработке технико-экономических обоснований и проектов строительства (реконструкции, расширения и технического перевооружения) хозяйственных объектов и комплексов. Утверждено 01.01.1992 г. Министерством экологии и природопользования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Действующее законодательство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Действующие инструктивно-методические документы.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содержание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 372), оценка воздействия на окружающую среду намечаемой хозяйственной и иной деятельности должна включать следующие материалы: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сведения. В том числе информация по текущему состоянию окружающей среды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Пояснительная записка по обосновывающей документации.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потребность реализации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альтернативных вариантов достижения цели намечаемой хозяйственной, включая предлагаемый и "нулевой вариант" (отказ от деятельности).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компонентов окружающей среды, которые могут быть затронуты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программ экологического мониторинга.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Сопровождение и согласование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организацию и проведение общественных слушаний, в соответствии с «Положением об оценке воздействия намечаемой хозяйственной и иной деятельности на окружающую среду в Российской Федерации», утверждённым приказом Госкомэкологии от 16.05.2000 г. № 372., в объеме и с качеством, обеспечивающих получение положительного заключения государственной экологической экспертизы. Исполнитель обеспечивает публикации в СМИ (согласно п.13.4. данного ТЗ).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проведение государственной экологической экспертизы проекта до получения положительного заключения.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Заказчик согласовывает проектные решения, итоги и выводы, сделанные на этапах ОВОС, в том числе отчёт по ОВОС. Исполнитель в рамках проведения государственной экологической экспертизы участвует в совещаниях, устраняет замечания экспертизы по проведённой ОВОС.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количество документации, передаваемой Заказчику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Предварительные материалы по оценке воздействия на окружающую среду в двух экземплярах в бумажном виде и в электронном виде.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Окончательный вариант материалов по оценке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на бумажном носителе - 2 экз., сброшюрованные в альбомы.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электронной версии документации должны быть идентичны бумажному оригиналу.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Документация на электронном носителе представляется в следующих форматах: чертежи основных комплектов и текстовая документация - Adobe Portable Document format (*.doc, *.pdf, *.tiff).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в электронном виде - 2 экз на CD.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«Установка термической утилизации подтоварной воды на Протозановском месторождении»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«РН-Уватнефтегаз»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Заместитель начальника  управления - начальник отдела организации и планирования проектно-изыскательских работ, сопровождения экспертиз и архива проектно-сметной документации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Ю.П. Орлов</w:t>
            </w:r>
          </w:p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  <w:tr>
        <w:trPr>
          <w:trHeight w:val="1083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Начальник отдела контроля проектно-изыскательских работ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________________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</w:rPr>
              <w:t>В.Н. Колчин</w:t>
            </w:r>
          </w:p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«___» ___________ 2020 г.</w:t>
            </w:r>
            <w:r>
              <w:rPr>
                <w:rFonts w:cs="Times New Roman" w:ascii="Times New Roman" w:hAnsi="Times New Roman"/>
                <w:b/>
                <w:i/>
              </w:rPr>
              <w:t>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И.о. начальника отдела природоохранных мероприятий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785" w:leader="none"/>
                <w:tab w:val="left" w:pos="1927" w:leader="none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 М.Н. Илюхина</w:t>
            </w:r>
          </w:p>
          <w:p>
            <w:pPr>
              <w:pStyle w:val="Normal"/>
              <w:suppressAutoHyphens w:val="true"/>
              <w:spacing w:lineRule="auto" w:line="360" w:before="0" w:after="24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Cs w:val="24"/>
          <w:u w:val="single"/>
          <w:lang w:eastAsia="ru-RU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«Установка термической утилизации подтоварной воды на Протозановском месторождении»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b/>
          <w:b/>
          <w:i/>
          <w:i/>
          <w:spacing w:val="-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pacing w:val="-14"/>
          <w:szCs w:val="24"/>
          <w:lang w:eastAsia="ru-RU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«НК «Роснефть - НТЦ»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FF0000"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Заместитель главного инженера 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по инжинирингу в ПИР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__ Д.А. Кустов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ГИП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А.Ю. Гусев</w:t>
            </w:r>
          </w:p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Начальник отдела П и СП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________________ 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В.А. Брезгун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2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0978457"/>
    </w:sdtPr>
    <w:sdtContent>
      <w:p>
        <w:pPr>
          <w:pStyle w:val="Style24"/>
          <w:tabs>
            <w:tab w:val="left" w:pos="720" w:leader="none"/>
            <w:tab w:val="center" w:pos="4677" w:leader="none"/>
            <w:tab w:val="right" w:pos="9355" w:leader="none"/>
          </w:tabs>
          <w:jc w:val="right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7" wp14:anchorId="2DF71C3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55245</wp:posOffset>
                  </wp:positionV>
                  <wp:extent cx="6228080" cy="635"/>
                  <wp:effectExtent l="0" t="0" r="20955" b="19050"/>
                  <wp:wrapNone/>
                  <wp:docPr id="1" name="Прямая соединительная линия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27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8.55pt,4.35pt" to="481.75pt,4.35pt" ID="Прямая соединительная линия 4" stroked="t" style="position:absolute" wp14:anchorId="2DF71C36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  <w:r>
          <w:rPr/>
          <w:tab/>
        </w:r>
      </w:p>
      <w:p>
        <w:pPr>
          <w:pStyle w:val="Normal"/>
          <w:rPr>
            <w:rFonts w:ascii="Times New Roman" w:hAnsi="Times New Roman" w:cs="Times New Roman"/>
            <w:sz w:val="18"/>
            <w:szCs w:val="18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13" wp14:anchorId="19180355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156845</wp:posOffset>
                  </wp:positionV>
                  <wp:extent cx="980440" cy="267335"/>
                  <wp:effectExtent l="0" t="0" r="0" b="0"/>
                  <wp:wrapNone/>
                  <wp:docPr id="2" name="Поле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920" cy="2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6"/>
                                <w:ind w:hanging="180"/>
                                <w:jc w:val="right"/>
                                <w:rPr/>
                              </w:pP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PAGE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0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 ИЗ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NUMPAGES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1" stroked="f" style="position:absolute;margin-left:418.55pt;margin-top:12.35pt;width:77.1pt;height:20.95pt" wp14:anchorId="19180355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Style26"/>
                          <w:ind w:hanging="180"/>
                          <w:jc w:val="right"/>
                          <w:rPr/>
                        </w:pP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СТРАНИЦА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PAGE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0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 ИЗ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NUMPAGES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6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cs="Times New Roman" w:ascii="Times New Roman" w:hAnsi="Times New Roman"/>
            <w:sz w:val="18"/>
            <w:szCs w:val="18"/>
          </w:rPr>
          <w:t>ТЗ на ОВОС по объекту «Установка термической утилизации подтоварной воды на Протозановском месторождении»</w:t>
          <w:tab/>
          <w:tab/>
          <w:tab/>
          <w:tab/>
          <w:tab/>
          <w:tab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Times New Roman" w:hAnsi="Times New Roman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0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1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12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14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5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6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78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0780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40780"/>
    <w:rPr>
      <w:rFonts w:ascii="Arial" w:hAnsi="Arial"/>
    </w:rPr>
  </w:style>
  <w:style w:type="character" w:styleId="Style16" w:customStyle="1">
    <w:name w:val="ВНП Обычный текст с отступом Знак"/>
    <w:link w:val="a9"/>
    <w:qFormat/>
    <w:rsid w:val="009b30a9"/>
    <w:rPr>
      <w:rFonts w:ascii="Arial" w:hAnsi="Arial" w:eastAsia="Times New Roman" w:cs="Arial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105a4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076a4f"/>
    <w:rPr>
      <w:rFonts w:ascii="Arial" w:hAnsi="Arial"/>
    </w:rPr>
  </w:style>
  <w:style w:type="character" w:styleId="Keyvalueitemvalue" w:customStyle="1">
    <w:name w:val="key-value__item-value"/>
    <w:basedOn w:val="DefaultParagraphFont"/>
    <w:qFormat/>
    <w:rsid w:val="00af0bb4"/>
    <w:rPr/>
  </w:style>
  <w:style w:type="character" w:styleId="Upper" w:customStyle="1">
    <w:name w:val="upper"/>
    <w:basedOn w:val="DefaultParagraphFont"/>
    <w:qFormat/>
    <w:rsid w:val="00af0bb4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/>
      <w:color w:val="auto"/>
      <w:sz w:val="22"/>
      <w:szCs w:val="24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2"/>
      <w:szCs w:val="24"/>
    </w:rPr>
  </w:style>
  <w:style w:type="character" w:styleId="ListLabel20">
    <w:name w:val="ListLabel 20"/>
    <w:qFormat/>
    <w:rPr>
      <w:rFonts w:cs="Times New Roman"/>
      <w:sz w:val="22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4"/>
    </w:rPr>
  </w:style>
  <w:style w:type="character" w:styleId="ListLabel22">
    <w:name w:val="ListLabel 22"/>
    <w:qFormat/>
    <w:rPr>
      <w:rFonts w:ascii="Times New Roman" w:hAnsi="Times New Roman" w:cs="Times New Roman"/>
      <w:sz w:val="22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2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2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4"/>
    </w:rPr>
  </w:style>
  <w:style w:type="character" w:styleId="ListLabel26">
    <w:name w:val="ListLabel 26"/>
    <w:qFormat/>
    <w:rPr>
      <w:rFonts w:cs="Times New Roman"/>
      <w:sz w:val="22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2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2"/>
      <w:szCs w:val="24"/>
    </w:rPr>
  </w:style>
  <w:style w:type="character" w:styleId="ListLabel29">
    <w:name w:val="ListLabel 29"/>
    <w:qFormat/>
    <w:rPr>
      <w:color w:val="auto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40780"/>
    <w:pPr>
      <w:spacing w:before="0" w:after="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c407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ВНП Обычный текст с отступом"/>
    <w:basedOn w:val="Normal"/>
    <w:link w:val="aa"/>
    <w:qFormat/>
    <w:rsid w:val="009b30a9"/>
    <w:pPr>
      <w:spacing w:lineRule="auto" w:line="360"/>
      <w:ind w:firstLine="720"/>
      <w:jc w:val="both"/>
    </w:pPr>
    <w:rPr>
      <w:rFonts w:eastAsia="Times New Roman" w:cs="Arial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105a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76a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ВНП Список_маркированный"/>
    <w:qFormat/>
    <w:rsid w:val="004d422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4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rsid w:val="00af3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A848-8A77-4ADE-9715-C4CD1914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4</Pages>
  <Words>1491</Words>
  <Characters>11139</Characters>
  <CharactersWithSpaces>12455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2021-03-15T10:52:00Z</dcterms:created>
  <dc:creator>Катаева Екатерина Геннадьевна</dc:creator>
  <dc:description/>
  <dc:language>ru-RU</dc:language>
  <cp:lastModifiedBy>Гальцов Алексей Александрович</cp:lastModifiedBy>
  <cp:lastPrinted>2020-11-19T12:59:00Z</cp:lastPrinted>
  <dcterms:modified xsi:type="dcterms:W3CDTF">2021-03-15T10:52:00Z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