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7" w:rsidRPr="00842857" w:rsidRDefault="00842857" w:rsidP="00842857">
      <w:pPr>
        <w:shd w:val="clear" w:color="auto" w:fill="FFFFFF"/>
        <w:spacing w:after="250" w:line="240" w:lineRule="auto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</w:pPr>
      <w:r w:rsidRPr="00842857"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>Порядок поступления граждан на муниципальную службу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3. При поступлении на муниципальную службу гражданин представляет личное заявление, а также предъявляет следующие документы: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а) документ об образовании;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б) паспорт;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в)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 xml:space="preserve">г) заполненную и подписанную анкету по </w:t>
      </w:r>
      <w:hyperlink r:id="rId4" w:history="1">
        <w:r w:rsidRPr="00842857">
          <w:rPr>
            <w:rFonts w:ascii="Arial" w:hAnsi="Arial" w:cs="Arial"/>
            <w:color w:val="000000" w:themeColor="text1"/>
            <w:sz w:val="12"/>
            <w:szCs w:val="12"/>
          </w:rPr>
          <w:t>форме</w:t>
        </w:r>
      </w:hyperlink>
      <w:r w:rsidRPr="00842857">
        <w:rPr>
          <w:rFonts w:ascii="Arial" w:hAnsi="Arial" w:cs="Arial"/>
          <w:color w:val="000000" w:themeColor="text1"/>
          <w:sz w:val="12"/>
          <w:szCs w:val="12"/>
        </w:rPr>
        <w:t>, установленной Правительством Российской Федерации;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proofErr w:type="spellStart"/>
      <w:r w:rsidRPr="00842857">
        <w:rPr>
          <w:rFonts w:ascii="Arial" w:hAnsi="Arial" w:cs="Arial"/>
          <w:color w:val="000000" w:themeColor="text1"/>
          <w:sz w:val="12"/>
          <w:szCs w:val="12"/>
        </w:rPr>
        <w:t>д</w:t>
      </w:r>
      <w:proofErr w:type="spellEnd"/>
      <w:r w:rsidRPr="00842857">
        <w:rPr>
          <w:rFonts w:ascii="Arial" w:hAnsi="Arial" w:cs="Arial"/>
          <w:color w:val="000000" w:themeColor="text1"/>
          <w:sz w:val="12"/>
          <w:szCs w:val="12"/>
        </w:rPr>
        <w:t>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е) документы воинского учета - для военнообязанных и лиц, подлежащих призыву на военную службу;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proofErr w:type="spellStart"/>
      <w:r w:rsidRPr="00842857">
        <w:rPr>
          <w:rFonts w:ascii="Arial" w:hAnsi="Arial" w:cs="Arial"/>
          <w:color w:val="000000" w:themeColor="text1"/>
          <w:sz w:val="12"/>
          <w:szCs w:val="12"/>
        </w:rPr>
        <w:t>з</w:t>
      </w:r>
      <w:proofErr w:type="spellEnd"/>
      <w:r w:rsidRPr="00842857">
        <w:rPr>
          <w:rFonts w:ascii="Arial" w:hAnsi="Arial" w:cs="Arial"/>
          <w:color w:val="000000" w:themeColor="text1"/>
          <w:sz w:val="12"/>
          <w:szCs w:val="12"/>
        </w:rP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 xml:space="preserve">к) сведения о доходах, об имуществе и обязательствах имущественного характера своих супруги (супруга) и несовершеннолетних детей (при замещении должности муниципальной службы, установленной </w:t>
      </w:r>
      <w:hyperlink r:id="rId5" w:history="1">
        <w:r w:rsidRPr="00842857">
          <w:rPr>
            <w:rFonts w:ascii="Arial" w:hAnsi="Arial" w:cs="Arial"/>
            <w:color w:val="000000" w:themeColor="text1"/>
            <w:sz w:val="12"/>
            <w:szCs w:val="12"/>
          </w:rPr>
          <w:t>Перечнем</w:t>
        </w:r>
      </w:hyperlink>
      <w:r w:rsidRPr="00842857">
        <w:rPr>
          <w:rFonts w:ascii="Arial" w:hAnsi="Arial" w:cs="Arial"/>
          <w:color w:val="000000" w:themeColor="text1"/>
          <w:sz w:val="12"/>
          <w:szCs w:val="12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 xml:space="preserve">л) </w:t>
      </w:r>
      <w:r w:rsidRPr="00842857">
        <w:rPr>
          <w:rFonts w:ascii="Arial" w:hAnsi="Arial" w:cs="Arial"/>
          <w:bCs/>
          <w:color w:val="000000" w:themeColor="text1"/>
          <w:sz w:val="12"/>
          <w:szCs w:val="12"/>
          <w:shd w:val="clear" w:color="auto" w:fill="FFFFFF"/>
        </w:rPr>
        <w:t>Справку</w:t>
      </w:r>
      <w:r w:rsidRPr="00842857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 </w:t>
      </w:r>
      <w:r w:rsidRPr="00842857">
        <w:rPr>
          <w:rFonts w:ascii="Arial" w:hAnsi="Arial" w:cs="Arial"/>
          <w:bCs/>
          <w:color w:val="000000" w:themeColor="text1"/>
          <w:sz w:val="12"/>
          <w:szCs w:val="12"/>
          <w:shd w:val="clear" w:color="auto" w:fill="FFFFFF"/>
        </w:rPr>
        <w:t>об</w:t>
      </w:r>
      <w:r w:rsidRPr="00842857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 </w:t>
      </w:r>
      <w:r w:rsidRPr="00842857">
        <w:rPr>
          <w:rFonts w:ascii="Arial" w:hAnsi="Arial" w:cs="Arial"/>
          <w:bCs/>
          <w:color w:val="000000" w:themeColor="text1"/>
          <w:sz w:val="12"/>
          <w:szCs w:val="12"/>
          <w:shd w:val="clear" w:color="auto" w:fill="FFFFFF"/>
        </w:rPr>
        <w:t>отсутствии</w:t>
      </w:r>
      <w:r w:rsidRPr="00842857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 (наличии) </w:t>
      </w:r>
      <w:r w:rsidRPr="00842857">
        <w:rPr>
          <w:rFonts w:ascii="Arial" w:hAnsi="Arial" w:cs="Arial"/>
          <w:bCs/>
          <w:color w:val="000000" w:themeColor="text1"/>
          <w:sz w:val="12"/>
          <w:szCs w:val="12"/>
          <w:shd w:val="clear" w:color="auto" w:fill="FFFFFF"/>
        </w:rPr>
        <w:t>судимости</w:t>
      </w:r>
      <w:r w:rsidRPr="00842857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 и (или) факта уголовного преследования либо о прекращении уголовного преследования;</w:t>
      </w:r>
    </w:p>
    <w:p w:rsidR="00842857" w:rsidRPr="00842857" w:rsidRDefault="00842857" w:rsidP="00842857">
      <w:pPr>
        <w:pStyle w:val="a3"/>
        <w:rPr>
          <w:rFonts w:ascii="Arial" w:hAnsi="Arial" w:cs="Arial"/>
          <w:color w:val="000000" w:themeColor="text1"/>
          <w:sz w:val="12"/>
          <w:szCs w:val="12"/>
        </w:rPr>
      </w:pPr>
      <w:r w:rsidRPr="00842857">
        <w:rPr>
          <w:rFonts w:ascii="Arial" w:hAnsi="Arial" w:cs="Arial"/>
          <w:color w:val="000000" w:themeColor="text1"/>
          <w:sz w:val="12"/>
          <w:szCs w:val="12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5. В случае установления в процессе проверки, предусмотренной частью 4 ст. 16 Федерального закона от 02.03.2007 №25-ФЗ,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42857" w:rsidRPr="00842857" w:rsidRDefault="00842857" w:rsidP="00842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  <w:r w:rsidRPr="00842857"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D7D55" w:rsidRPr="00842857" w:rsidRDefault="00ED7D55" w:rsidP="00842857">
      <w:pPr>
        <w:pStyle w:val="a3"/>
        <w:rPr>
          <w:color w:val="000000" w:themeColor="text1"/>
        </w:rPr>
      </w:pPr>
    </w:p>
    <w:sectPr w:rsidR="00ED7D55" w:rsidRPr="00842857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42857"/>
    <w:rsid w:val="0009561C"/>
    <w:rsid w:val="00276F89"/>
    <w:rsid w:val="00631190"/>
    <w:rsid w:val="00645EE7"/>
    <w:rsid w:val="00842857"/>
    <w:rsid w:val="009159B5"/>
    <w:rsid w:val="00917044"/>
    <w:rsid w:val="00BF7A06"/>
    <w:rsid w:val="00D2225D"/>
    <w:rsid w:val="00E21B3B"/>
    <w:rsid w:val="00ED7D55"/>
    <w:rsid w:val="00F06534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</w:style>
  <w:style w:type="paragraph" w:styleId="1">
    <w:name w:val="heading 1"/>
    <w:basedOn w:val="a"/>
    <w:link w:val="10"/>
    <w:uiPriority w:val="9"/>
    <w:qFormat/>
    <w:rsid w:val="00842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4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805FAE28271FDDDB20A07D60DF11A010200FAADBA85335B7105DC50B825111F4E1E2154E24E882C66825X7w8G" TargetMode="External"/><Relationship Id="rId4" Type="http://schemas.openxmlformats.org/officeDocument/2006/relationships/hyperlink" Target="consultantplus://offline/ref=66805FAE28271FDDDB20A07E72B34FAF112A59A4D9A0006DEA160A9A5B840451B4E7B7560A29E9X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3876</Characters>
  <Application>Microsoft Office Word</Application>
  <DocSecurity>0</DocSecurity>
  <Lines>32</Lines>
  <Paragraphs>9</Paragraphs>
  <ScaleCrop>false</ScaleCrop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2021-04-09T05:09:00Z</dcterms:created>
  <dcterms:modified xsi:type="dcterms:W3CDTF">2021-04-09T05:17:00Z</dcterms:modified>
</cp:coreProperties>
</file>