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A96" w:rsidRDefault="0036220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ИНФОРМАЦИЯ</w:t>
      </w:r>
    </w:p>
    <w:p w:rsidR="00DA0A96" w:rsidRDefault="00362209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 w:val="24"/>
          <w:szCs w:val="24"/>
        </w:rPr>
        <w:t>по итогам социально-экономического развития</w:t>
      </w:r>
    </w:p>
    <w:p w:rsidR="00DA0A96" w:rsidRDefault="00362209">
      <w:pPr>
        <w:keepNext/>
        <w:numPr>
          <w:ilvl w:val="7"/>
          <w:numId w:val="1"/>
        </w:numPr>
        <w:jc w:val="center"/>
        <w:outlineLvl w:val="7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Уватского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муниципального района за январь-март 2025 год</w:t>
      </w:r>
    </w:p>
    <w:p w:rsidR="00DA0A96" w:rsidRDefault="00DA0A96">
      <w:pPr>
        <w:jc w:val="center"/>
        <w:rPr>
          <w:rFonts w:ascii="Arial" w:hAnsi="Arial" w:cs="Arial"/>
          <w:b/>
          <w:sz w:val="24"/>
          <w:szCs w:val="24"/>
        </w:rPr>
      </w:pPr>
    </w:p>
    <w:p w:rsidR="00DA0A96" w:rsidRDefault="0036220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Демография населения</w:t>
      </w:r>
    </w:p>
    <w:p w:rsidR="00DA0A96" w:rsidRDefault="00DA0A96">
      <w:pPr>
        <w:jc w:val="both"/>
        <w:rPr>
          <w:rFonts w:ascii="Arial" w:hAnsi="Arial" w:cs="Arial"/>
          <w:b/>
          <w:sz w:val="24"/>
          <w:szCs w:val="24"/>
        </w:rPr>
      </w:pPr>
    </w:p>
    <w:p w:rsidR="00DA0A96" w:rsidRDefault="00362209">
      <w:pPr>
        <w:pStyle w:val="210"/>
        <w:ind w:firstLine="567"/>
        <w:jc w:val="both"/>
        <w:rPr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t>Рождаемость и смертность</w:t>
      </w:r>
    </w:p>
    <w:p w:rsidR="00DA0A96" w:rsidRPr="00B65C3E" w:rsidRDefault="00362209">
      <w:pPr>
        <w:pStyle w:val="210"/>
        <w:ind w:firstLine="567"/>
        <w:jc w:val="both"/>
        <w:rPr>
          <w:sz w:val="26"/>
          <w:szCs w:val="26"/>
        </w:rPr>
      </w:pPr>
      <w:r w:rsidRPr="00B65C3E">
        <w:rPr>
          <w:rFonts w:ascii="Arial" w:hAnsi="Arial" w:cs="Arial"/>
          <w:sz w:val="26"/>
          <w:szCs w:val="26"/>
        </w:rPr>
        <w:t>За январь-</w:t>
      </w:r>
      <w:r w:rsidR="00B65C3E" w:rsidRPr="00B65C3E">
        <w:rPr>
          <w:rFonts w:ascii="Arial" w:hAnsi="Arial" w:cs="Arial"/>
          <w:sz w:val="26"/>
          <w:szCs w:val="26"/>
        </w:rPr>
        <w:t>февраль</w:t>
      </w:r>
      <w:r w:rsidRPr="00B65C3E">
        <w:rPr>
          <w:rFonts w:ascii="Arial" w:hAnsi="Arial" w:cs="Arial"/>
          <w:sz w:val="26"/>
          <w:szCs w:val="26"/>
        </w:rPr>
        <w:t xml:space="preserve"> 2025 года в районе родилось </w:t>
      </w:r>
      <w:r w:rsidR="00B65C3E" w:rsidRPr="00B65C3E">
        <w:rPr>
          <w:rFonts w:ascii="Arial" w:hAnsi="Arial" w:cs="Arial"/>
          <w:sz w:val="26"/>
          <w:szCs w:val="26"/>
        </w:rPr>
        <w:t>27</w:t>
      </w:r>
      <w:r w:rsidRPr="00B65C3E">
        <w:rPr>
          <w:rFonts w:ascii="Arial" w:hAnsi="Arial" w:cs="Arial"/>
          <w:sz w:val="26"/>
          <w:szCs w:val="26"/>
        </w:rPr>
        <w:t xml:space="preserve"> человек (</w:t>
      </w:r>
      <w:r w:rsidR="00B65C3E" w:rsidRPr="00B65C3E">
        <w:rPr>
          <w:rFonts w:ascii="Arial" w:hAnsi="Arial" w:cs="Arial"/>
          <w:sz w:val="26"/>
          <w:szCs w:val="26"/>
        </w:rPr>
        <w:t>77</w:t>
      </w:r>
      <w:r w:rsidRPr="00B65C3E">
        <w:rPr>
          <w:rFonts w:ascii="Arial" w:hAnsi="Arial" w:cs="Arial"/>
          <w:sz w:val="26"/>
          <w:szCs w:val="26"/>
        </w:rPr>
        <w:t>% к аналогичному периоду 202</w:t>
      </w:r>
      <w:r w:rsidR="00B65C3E" w:rsidRPr="00B65C3E">
        <w:rPr>
          <w:rFonts w:ascii="Arial" w:hAnsi="Arial" w:cs="Arial"/>
          <w:sz w:val="26"/>
          <w:szCs w:val="26"/>
        </w:rPr>
        <w:t>4</w:t>
      </w:r>
      <w:r w:rsidRPr="00B65C3E">
        <w:rPr>
          <w:rFonts w:ascii="Arial" w:hAnsi="Arial" w:cs="Arial"/>
          <w:sz w:val="26"/>
          <w:szCs w:val="26"/>
        </w:rPr>
        <w:t xml:space="preserve"> года). Смертность увеличилась по сравнению с аналогичным периодом прошлого года на </w:t>
      </w:r>
      <w:r w:rsidR="00B65C3E" w:rsidRPr="00B65C3E">
        <w:rPr>
          <w:rFonts w:ascii="Arial" w:hAnsi="Arial" w:cs="Arial"/>
          <w:sz w:val="26"/>
          <w:szCs w:val="26"/>
        </w:rPr>
        <w:t>5</w:t>
      </w:r>
      <w:r w:rsidRPr="00B65C3E">
        <w:rPr>
          <w:rFonts w:ascii="Arial" w:hAnsi="Arial" w:cs="Arial"/>
          <w:sz w:val="26"/>
          <w:szCs w:val="26"/>
        </w:rPr>
        <w:t xml:space="preserve"> человек и составила </w:t>
      </w:r>
      <w:r w:rsidR="00B65C3E" w:rsidRPr="00B65C3E">
        <w:rPr>
          <w:rFonts w:ascii="Arial" w:hAnsi="Arial" w:cs="Arial"/>
          <w:sz w:val="26"/>
          <w:szCs w:val="26"/>
        </w:rPr>
        <w:t>39</w:t>
      </w:r>
      <w:r w:rsidRPr="00B65C3E">
        <w:rPr>
          <w:rFonts w:ascii="Arial" w:hAnsi="Arial" w:cs="Arial"/>
          <w:sz w:val="26"/>
          <w:szCs w:val="26"/>
        </w:rPr>
        <w:t xml:space="preserve"> человек (1</w:t>
      </w:r>
      <w:r w:rsidR="00B65C3E" w:rsidRPr="00B65C3E">
        <w:rPr>
          <w:rFonts w:ascii="Arial" w:hAnsi="Arial" w:cs="Arial"/>
          <w:sz w:val="26"/>
          <w:szCs w:val="26"/>
        </w:rPr>
        <w:t>14</w:t>
      </w:r>
      <w:r w:rsidRPr="00B65C3E">
        <w:rPr>
          <w:rFonts w:ascii="Arial" w:hAnsi="Arial" w:cs="Arial"/>
          <w:sz w:val="26"/>
          <w:szCs w:val="26"/>
        </w:rPr>
        <w:t>,</w:t>
      </w:r>
      <w:r w:rsidR="00B65C3E" w:rsidRPr="00B65C3E">
        <w:rPr>
          <w:rFonts w:ascii="Arial" w:hAnsi="Arial" w:cs="Arial"/>
          <w:sz w:val="26"/>
          <w:szCs w:val="26"/>
        </w:rPr>
        <w:t>7</w:t>
      </w:r>
      <w:r w:rsidRPr="00B65C3E">
        <w:rPr>
          <w:rFonts w:ascii="Arial" w:hAnsi="Arial" w:cs="Arial"/>
          <w:sz w:val="26"/>
          <w:szCs w:val="26"/>
        </w:rPr>
        <w:t>% к 202</w:t>
      </w:r>
      <w:r w:rsidR="00B65C3E" w:rsidRPr="00B65C3E">
        <w:rPr>
          <w:rFonts w:ascii="Arial" w:hAnsi="Arial" w:cs="Arial"/>
          <w:sz w:val="26"/>
          <w:szCs w:val="26"/>
        </w:rPr>
        <w:t>4</w:t>
      </w:r>
      <w:r w:rsidRPr="00B65C3E">
        <w:rPr>
          <w:rFonts w:ascii="Arial" w:hAnsi="Arial" w:cs="Arial"/>
          <w:sz w:val="26"/>
          <w:szCs w:val="26"/>
        </w:rPr>
        <w:t xml:space="preserve"> году). </w:t>
      </w:r>
    </w:p>
    <w:p w:rsidR="00DA0A96" w:rsidRPr="00B65C3E" w:rsidRDefault="00362209">
      <w:pPr>
        <w:pStyle w:val="210"/>
        <w:ind w:firstLine="567"/>
        <w:jc w:val="both"/>
        <w:rPr>
          <w:sz w:val="26"/>
          <w:szCs w:val="26"/>
        </w:rPr>
      </w:pPr>
      <w:r w:rsidRPr="00B65C3E">
        <w:rPr>
          <w:rFonts w:ascii="Arial" w:hAnsi="Arial" w:cs="Arial"/>
          <w:sz w:val="26"/>
          <w:szCs w:val="26"/>
        </w:rPr>
        <w:t xml:space="preserve">Естественный прирост населения составил (-) </w:t>
      </w:r>
      <w:r w:rsidR="00B65C3E" w:rsidRPr="00B65C3E">
        <w:rPr>
          <w:rFonts w:ascii="Arial" w:hAnsi="Arial" w:cs="Arial"/>
          <w:sz w:val="26"/>
          <w:szCs w:val="26"/>
        </w:rPr>
        <w:t>12</w:t>
      </w:r>
      <w:r w:rsidRPr="00B65C3E">
        <w:rPr>
          <w:rFonts w:ascii="Arial" w:hAnsi="Arial" w:cs="Arial"/>
          <w:sz w:val="26"/>
          <w:szCs w:val="26"/>
        </w:rPr>
        <w:t xml:space="preserve"> человек.</w:t>
      </w:r>
    </w:p>
    <w:p w:rsidR="00DA0A96" w:rsidRPr="00D63595" w:rsidRDefault="00362209">
      <w:pPr>
        <w:pStyle w:val="210"/>
        <w:ind w:firstLine="567"/>
        <w:jc w:val="both"/>
        <w:rPr>
          <w:sz w:val="26"/>
          <w:szCs w:val="26"/>
        </w:rPr>
      </w:pPr>
      <w:r w:rsidRPr="00D63595">
        <w:rPr>
          <w:rFonts w:ascii="Arial" w:hAnsi="Arial" w:cs="Arial"/>
          <w:sz w:val="26"/>
          <w:szCs w:val="26"/>
        </w:rPr>
        <w:t xml:space="preserve">Заключено браков - 39, на 15 больше аналогичного периода прошлого года, расторжений - 28, на 5 разводов больше, чем за аналогичный период прошлого года.  </w:t>
      </w:r>
    </w:p>
    <w:p w:rsidR="00DA0A96" w:rsidRPr="00B65C3E" w:rsidRDefault="00362209">
      <w:pPr>
        <w:pStyle w:val="210"/>
        <w:ind w:firstLine="567"/>
        <w:jc w:val="both"/>
        <w:rPr>
          <w:sz w:val="26"/>
          <w:szCs w:val="26"/>
        </w:rPr>
      </w:pPr>
      <w:bookmarkStart w:id="0" w:name="_GoBack"/>
      <w:bookmarkEnd w:id="0"/>
      <w:r w:rsidRPr="00B65C3E">
        <w:rPr>
          <w:rFonts w:ascii="Arial" w:hAnsi="Arial" w:cs="Arial"/>
          <w:b/>
          <w:i/>
          <w:sz w:val="26"/>
          <w:szCs w:val="26"/>
        </w:rPr>
        <w:t>Миграция</w:t>
      </w:r>
    </w:p>
    <w:p w:rsidR="00DA0A96" w:rsidRPr="00B65C3E" w:rsidRDefault="00362209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B65C3E">
        <w:rPr>
          <w:rFonts w:ascii="Arial" w:hAnsi="Arial" w:cs="Arial"/>
          <w:sz w:val="26"/>
          <w:szCs w:val="26"/>
        </w:rPr>
        <w:t>За текущий период 202</w:t>
      </w:r>
      <w:r w:rsidR="00B65C3E" w:rsidRPr="00B65C3E">
        <w:rPr>
          <w:rFonts w:ascii="Arial" w:hAnsi="Arial" w:cs="Arial"/>
          <w:sz w:val="26"/>
          <w:szCs w:val="26"/>
        </w:rPr>
        <w:t>5</w:t>
      </w:r>
      <w:r w:rsidRPr="00B65C3E">
        <w:rPr>
          <w:rFonts w:ascii="Arial" w:hAnsi="Arial" w:cs="Arial"/>
          <w:sz w:val="26"/>
          <w:szCs w:val="26"/>
        </w:rPr>
        <w:t xml:space="preserve"> года в район прибыло 10</w:t>
      </w:r>
      <w:r w:rsidR="00B65C3E" w:rsidRPr="00B65C3E">
        <w:rPr>
          <w:rFonts w:ascii="Arial" w:hAnsi="Arial" w:cs="Arial"/>
          <w:sz w:val="26"/>
          <w:szCs w:val="26"/>
        </w:rPr>
        <w:t>6</w:t>
      </w:r>
      <w:r w:rsidRPr="00B65C3E">
        <w:rPr>
          <w:rFonts w:ascii="Arial" w:hAnsi="Arial" w:cs="Arial"/>
          <w:sz w:val="26"/>
          <w:szCs w:val="26"/>
        </w:rPr>
        <w:t xml:space="preserve"> человек (</w:t>
      </w:r>
      <w:r w:rsidR="00B65C3E" w:rsidRPr="00B65C3E">
        <w:rPr>
          <w:rFonts w:ascii="Arial" w:hAnsi="Arial" w:cs="Arial"/>
          <w:sz w:val="26"/>
          <w:szCs w:val="26"/>
        </w:rPr>
        <w:t>99</w:t>
      </w:r>
      <w:r w:rsidRPr="00B65C3E">
        <w:rPr>
          <w:rFonts w:ascii="Arial" w:hAnsi="Arial" w:cs="Arial"/>
          <w:sz w:val="26"/>
          <w:szCs w:val="26"/>
        </w:rPr>
        <w:t>% к аналогичному периоду 202</w:t>
      </w:r>
      <w:r w:rsidR="00B65C3E" w:rsidRPr="00B65C3E">
        <w:rPr>
          <w:rFonts w:ascii="Arial" w:hAnsi="Arial" w:cs="Arial"/>
          <w:sz w:val="26"/>
          <w:szCs w:val="26"/>
        </w:rPr>
        <w:t>4</w:t>
      </w:r>
      <w:r w:rsidRPr="00B65C3E">
        <w:rPr>
          <w:rFonts w:ascii="Arial" w:hAnsi="Arial" w:cs="Arial"/>
          <w:sz w:val="26"/>
          <w:szCs w:val="26"/>
        </w:rPr>
        <w:t xml:space="preserve"> года), число выбывших 1</w:t>
      </w:r>
      <w:r w:rsidR="00B65C3E" w:rsidRPr="00B65C3E">
        <w:rPr>
          <w:rFonts w:ascii="Arial" w:hAnsi="Arial" w:cs="Arial"/>
          <w:sz w:val="26"/>
          <w:szCs w:val="26"/>
        </w:rPr>
        <w:t>2</w:t>
      </w:r>
      <w:r w:rsidRPr="00B65C3E">
        <w:rPr>
          <w:rFonts w:ascii="Arial" w:hAnsi="Arial" w:cs="Arial"/>
          <w:sz w:val="26"/>
          <w:szCs w:val="26"/>
        </w:rPr>
        <w:t>4 (</w:t>
      </w:r>
      <w:r w:rsidR="00B65C3E" w:rsidRPr="00B65C3E">
        <w:rPr>
          <w:rFonts w:ascii="Arial" w:hAnsi="Arial" w:cs="Arial"/>
          <w:sz w:val="26"/>
          <w:szCs w:val="26"/>
        </w:rPr>
        <w:t>88</w:t>
      </w:r>
      <w:r w:rsidRPr="00B65C3E">
        <w:rPr>
          <w:rFonts w:ascii="Arial" w:hAnsi="Arial" w:cs="Arial"/>
          <w:sz w:val="26"/>
          <w:szCs w:val="26"/>
        </w:rPr>
        <w:t>% к аналогичному периоду 202</w:t>
      </w:r>
      <w:r w:rsidR="00B65C3E" w:rsidRPr="00B65C3E">
        <w:rPr>
          <w:rFonts w:ascii="Arial" w:hAnsi="Arial" w:cs="Arial"/>
          <w:sz w:val="26"/>
          <w:szCs w:val="26"/>
        </w:rPr>
        <w:t>4</w:t>
      </w:r>
      <w:r w:rsidRPr="00B65C3E">
        <w:rPr>
          <w:rFonts w:ascii="Arial" w:hAnsi="Arial" w:cs="Arial"/>
          <w:sz w:val="26"/>
          <w:szCs w:val="26"/>
        </w:rPr>
        <w:t xml:space="preserve"> года). Миграционн</w:t>
      </w:r>
      <w:r w:rsidR="00B65C3E" w:rsidRPr="00B65C3E">
        <w:rPr>
          <w:rFonts w:ascii="Arial" w:hAnsi="Arial" w:cs="Arial"/>
          <w:sz w:val="26"/>
          <w:szCs w:val="26"/>
        </w:rPr>
        <w:t>ая</w:t>
      </w:r>
      <w:r w:rsidRPr="00B65C3E">
        <w:rPr>
          <w:rFonts w:ascii="Arial" w:hAnsi="Arial" w:cs="Arial"/>
          <w:sz w:val="26"/>
          <w:szCs w:val="26"/>
        </w:rPr>
        <w:t xml:space="preserve"> убыль составила </w:t>
      </w:r>
      <w:r w:rsidR="00B65C3E" w:rsidRPr="00B65C3E">
        <w:rPr>
          <w:rFonts w:ascii="Arial" w:hAnsi="Arial" w:cs="Arial"/>
          <w:sz w:val="26"/>
          <w:szCs w:val="26"/>
        </w:rPr>
        <w:t>18</w:t>
      </w:r>
      <w:r w:rsidRPr="00B65C3E">
        <w:rPr>
          <w:rFonts w:ascii="Arial" w:hAnsi="Arial" w:cs="Arial"/>
          <w:sz w:val="26"/>
          <w:szCs w:val="26"/>
        </w:rPr>
        <w:t xml:space="preserve"> человек.</w:t>
      </w: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Промышленность</w:t>
      </w:r>
    </w:p>
    <w:p w:rsidR="00DA0A96" w:rsidRDefault="00DA0A9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Объем отгруженных товаров собственного производства, выполненных работ и услуг собственными силами за январь-март 2025 года – 84 395,5 млн. рублей, что составляет 99,1 % к 2024 году. В обрабатывающей промышленности объем производства составил 87,9 млн. рублей (167,7 % к 2024 году). Обеспечение электрической энергией, газом и паром; кондиционирование воздуха составило 480,7 млн. рублей, что составляет 112,9 % к соответствующему периоду прошлого года. Водоснабжение; водоотведение, организация сбора и утилизации отходов составила 30,2 млн. рублей (106 % к прошлому периоду).</w:t>
      </w: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Вылов рыбы за январь-март 2025 года — 10,35 тонн, что составляет 104,5 % к соответствующему периоду прошлого года.  </w:t>
      </w: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Производство хлеба и хлебобулочных изделий — 115,5 тонн, что составляет 87,8 % к уровню прошлого года. </w:t>
      </w: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Производство кондитерских изделий за январь-март 2025 года составило 0,8 тонны (125% к соответствующему периоду прошлого года).</w:t>
      </w:r>
    </w:p>
    <w:p w:rsidR="00DA0A96" w:rsidRPr="009949F6" w:rsidRDefault="00362209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9949F6">
        <w:rPr>
          <w:rFonts w:ascii="Arial" w:hAnsi="Arial" w:cs="Arial"/>
          <w:color w:val="000000"/>
          <w:sz w:val="26"/>
          <w:szCs w:val="26"/>
        </w:rPr>
        <w:t>Производство деловой древесины за январь-март 202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5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 года — 1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4</w:t>
      </w:r>
      <w:r w:rsidRPr="009949F6">
        <w:rPr>
          <w:rFonts w:ascii="Arial" w:hAnsi="Arial" w:cs="Arial"/>
          <w:color w:val="000000"/>
          <w:sz w:val="26"/>
          <w:szCs w:val="26"/>
        </w:rPr>
        <w:t>,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1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 тыс. м</w:t>
      </w:r>
      <w:r w:rsidRPr="009949F6">
        <w:rPr>
          <w:rFonts w:ascii="Arial" w:hAnsi="Arial" w:cs="Arial"/>
          <w:color w:val="000000"/>
          <w:sz w:val="26"/>
          <w:szCs w:val="26"/>
          <w:vertAlign w:val="superscript"/>
        </w:rPr>
        <w:t>3</w:t>
      </w:r>
      <w:r w:rsidRPr="009949F6">
        <w:rPr>
          <w:rFonts w:ascii="Arial" w:hAnsi="Arial" w:cs="Arial"/>
          <w:color w:val="000000"/>
          <w:sz w:val="26"/>
          <w:szCs w:val="26"/>
        </w:rPr>
        <w:t>, что составляет 10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6</w:t>
      </w:r>
      <w:r w:rsidRPr="009949F6">
        <w:rPr>
          <w:rFonts w:ascii="Arial" w:hAnsi="Arial" w:cs="Arial"/>
          <w:color w:val="000000"/>
          <w:sz w:val="26"/>
          <w:szCs w:val="26"/>
        </w:rPr>
        <w:t>% к уровню прошлого года, производство пиломатериала за отчетный период составило 4,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5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 тыс. м</w:t>
      </w:r>
      <w:r w:rsidRPr="009949F6">
        <w:rPr>
          <w:rFonts w:ascii="Arial" w:hAnsi="Arial" w:cs="Arial"/>
          <w:color w:val="000000"/>
          <w:sz w:val="28"/>
          <w:szCs w:val="26"/>
          <w:vertAlign w:val="superscript"/>
        </w:rPr>
        <w:t>3</w:t>
      </w:r>
      <w:r w:rsidRPr="009949F6">
        <w:rPr>
          <w:rFonts w:ascii="Arial" w:hAnsi="Arial" w:cs="Arial"/>
          <w:color w:val="000000"/>
          <w:sz w:val="26"/>
          <w:szCs w:val="26"/>
        </w:rPr>
        <w:t>.</w:t>
      </w:r>
    </w:p>
    <w:p w:rsidR="00DA0A96" w:rsidRDefault="00362209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                                   </w:t>
      </w: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Сельское хозяйство</w:t>
      </w:r>
    </w:p>
    <w:p w:rsidR="009949F6" w:rsidRDefault="009949F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spacing w:before="100" w:beforeAutospacing="1"/>
        <w:ind w:firstLine="567"/>
        <w:contextualSpacing/>
        <w:jc w:val="both"/>
        <w:rPr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6"/>
          <w:szCs w:val="26"/>
          <w:lang w:eastAsia="ru-RU"/>
        </w:rPr>
        <w:t>Уватский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муниципальный район в силу природно-климатических условий имеет свою сельскохозяйственную специфику. Производственные сельскохозяйственные предприятия района представлены 2 обществами с ограниченной ответственностью. ООО «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Лэнни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» занимается картофелеводством, ООО «Селенга» кормопроизводством. Также растениеводством и животноводством занимаются 9 глав КФХ. Одним из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основных направлений в сельскохозяйственном производстве является развитие личных подсобных хозяйств населения.</w:t>
      </w:r>
    </w:p>
    <w:p w:rsidR="00DA0A96" w:rsidRDefault="00362209">
      <w:pPr>
        <w:spacing w:before="100" w:beforeAutospacing="1"/>
        <w:ind w:firstLine="567"/>
        <w:contextualSpacing/>
        <w:jc w:val="both"/>
        <w:rPr>
          <w:sz w:val="24"/>
          <w:szCs w:val="24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настоящее время закуп молока от личных подсобных хозяйств кооперативами не осуществляется в связи с отсутствием потребности, в перспективе планируется через потребительскую кооперацию организовать услуги по убою животных и закуп мяса у населения для последующей реализации и переработки. </w:t>
      </w:r>
    </w:p>
    <w:p w:rsidR="00DA0A96" w:rsidRDefault="00362209">
      <w:pPr>
        <w:spacing w:before="100" w:beforeAutospacing="1"/>
        <w:ind w:firstLine="567"/>
        <w:contextualSpacing/>
        <w:jc w:val="both"/>
        <w:rPr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6"/>
          <w:szCs w:val="26"/>
          <w:lang w:eastAsia="ru-RU"/>
        </w:rPr>
        <w:t>Производство молока по всем категориям хозяйств составляет 88% к уровню производства за 1 квартал 2024 года, что объясняется снижением поголовья коров молочного направления в личных подсобных хозяйствах населения, производство скота и птицы на убой по всем категориям хозяйств уменьшилось на 5% в связи с уменьшением поголовья молодняка КРС в хозяйствах населения к аналогичному периоду прошлого года.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В сельскохозяйственных организациях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района молоко и скот на убой в 1 квартале 2025г. не производились.</w:t>
      </w:r>
    </w:p>
    <w:p w:rsidR="00DA0A96" w:rsidRDefault="00362209">
      <w:pPr>
        <w:spacing w:before="100" w:beforeAutospacing="1"/>
        <w:ind w:firstLine="567"/>
        <w:contextualSpacing/>
        <w:jc w:val="both"/>
        <w:rPr>
          <w:sz w:val="24"/>
          <w:szCs w:val="24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целом по району во всех категориях хозяйств поголовье КРС сохранилось на прежнем уровне в связи с реализацией программы разведения молодняка абердин-ангусской мясной породы ИП глав КФХ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Тюменевой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Т.А., Толстогузовой Л.А., Моисеевой А.Н., в том числе поголовье коров увеличилось на 1% за счет КФХ. С другой стороны, происходит снижение поголовья КРС в хозяйствах населения с 163 гол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.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д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о 140 голов или на 14% в связи с доступностью молочной продукции в торговой сети.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Поголовье свиней в хозяйствах населения сокращается, составляет 70 голов или 72% к уровню прошлого года в связи со сложностью осуществления в частном секторе противоэпизоотических мероприятий АЧС и ростом цен на комбикорма).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Производства скота на убой в 1 квартале 2025 года в КФХ составило 14 тонн, что соответствует уровню прошлого года. Также ИП глава КФХ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Тюменева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реализует овец породы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Дорпер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для дальнейшего выращивания. Племенной учет в крестьянских хозяйствах не ведется.</w:t>
      </w:r>
    </w:p>
    <w:p w:rsidR="00DA0A96" w:rsidRDefault="00DA0A9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Инвестиции</w:t>
      </w:r>
    </w:p>
    <w:p w:rsidR="00DA0A96" w:rsidRDefault="00DA0A9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both"/>
        <w:rPr>
          <w:rFonts w:ascii="Arial" w:eastAsia="Arial" w:hAnsi="Arial" w:cs="Arial"/>
          <w:sz w:val="26"/>
          <w:szCs w:val="26"/>
        </w:rPr>
      </w:pPr>
      <w:r w:rsidRPr="002F592B">
        <w:rPr>
          <w:rFonts w:ascii="Arial" w:eastAsia="Arial" w:hAnsi="Arial" w:cs="Arial"/>
          <w:color w:val="000000"/>
          <w:sz w:val="26"/>
          <w:szCs w:val="26"/>
          <w:shd w:val="clear" w:color="auto" w:fill="FFFFFF"/>
        </w:rPr>
        <w:t xml:space="preserve">  </w:t>
      </w:r>
      <w:r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>Объем инвестиций в основной капитал (без субъектов малого и среднего предпринимательства) за январь-март 202</w:t>
      </w:r>
      <w:r w:rsidR="00B65C3E"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>5</w:t>
      </w:r>
      <w:r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года составил </w:t>
      </w:r>
      <w:r w:rsidR="00B65C3E"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>13 780,4</w:t>
      </w:r>
      <w:r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млн. рублей, что составляет </w:t>
      </w:r>
      <w:r w:rsidR="00B65C3E"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>96,9</w:t>
      </w:r>
      <w:r w:rsidRPr="002F592B">
        <w:rPr>
          <w:rFonts w:ascii="Arial" w:hAnsi="Arial" w:cs="Arial"/>
          <w:color w:val="000000"/>
          <w:sz w:val="26"/>
          <w:szCs w:val="26"/>
          <w:shd w:val="clear" w:color="auto" w:fill="FFFFFF"/>
        </w:rPr>
        <w:t>% к соответствующему периоду прошлого года. Основная доля в объеме инвестиций в основной капитал приходится на нефтедобывающую отрасль.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Объем работ, выполненных собственными силами по виду деятельности «строительство» (без субъектов малого предпринимательства) составил 467 млн. рублей или 232,8% к соответствующему периоду прошлого года.</w:t>
      </w:r>
    </w:p>
    <w:p w:rsidR="00DA0A96" w:rsidRDefault="0036220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За счет всех источников финансирования в январе-марте 2025 года введено 710 </w:t>
      </w:r>
      <w:proofErr w:type="spellStart"/>
      <w:r>
        <w:rPr>
          <w:rFonts w:ascii="Arial" w:hAnsi="Arial" w:cs="Arial"/>
          <w:sz w:val="26"/>
          <w:szCs w:val="26"/>
        </w:rPr>
        <w:t>кв.м</w:t>
      </w:r>
      <w:proofErr w:type="spellEnd"/>
      <w:r>
        <w:rPr>
          <w:rFonts w:ascii="Arial" w:hAnsi="Arial" w:cs="Arial"/>
          <w:sz w:val="26"/>
          <w:szCs w:val="26"/>
        </w:rPr>
        <w:t xml:space="preserve">. жилья, увеличение на 35,5% к 2024 году, в том числе за счет индивидуальных застройщиков составил 710 </w:t>
      </w:r>
      <w:proofErr w:type="spellStart"/>
      <w:r>
        <w:rPr>
          <w:rFonts w:ascii="Arial" w:hAnsi="Arial" w:cs="Arial"/>
          <w:sz w:val="26"/>
          <w:szCs w:val="26"/>
        </w:rPr>
        <w:t>кв.м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DA0A96" w:rsidRDefault="0036220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За 1 квартал 2025 года включен 1 проекта в Реестр инвестиционных проектов Тюменской области в </w:t>
      </w:r>
      <w:proofErr w:type="spellStart"/>
      <w:r>
        <w:rPr>
          <w:rFonts w:ascii="Arial" w:hAnsi="Arial" w:cs="Arial"/>
          <w:sz w:val="26"/>
          <w:szCs w:val="26"/>
        </w:rPr>
        <w:t>Туртасском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сельском поселении в сфере </w:t>
      </w:r>
      <w:proofErr w:type="spellStart"/>
      <w:r>
        <w:rPr>
          <w:rFonts w:ascii="Arial" w:hAnsi="Arial" w:cs="Arial"/>
          <w:sz w:val="26"/>
          <w:szCs w:val="26"/>
        </w:rPr>
        <w:t>девелопмент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DA0A96" w:rsidRDefault="00DA0A96">
      <w:pPr>
        <w:jc w:val="both"/>
        <w:rPr>
          <w:rFonts w:ascii="Arial" w:hAnsi="Arial" w:cs="Arial"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Развитие малого бизнеса</w:t>
      </w:r>
    </w:p>
    <w:p w:rsidR="00DA0A96" w:rsidRDefault="00DA0A96">
      <w:pPr>
        <w:ind w:firstLine="567"/>
        <w:jc w:val="both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Малое предпринимательство в последние годы представляет собой устойчивую сферу экономики района.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районе реализуется муниципальная программа «Развитие субъектов малого и среднего предпринимательства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районе на 2025-2027 годы». </w:t>
      </w:r>
    </w:p>
    <w:p w:rsidR="00DA0A96" w:rsidRPr="009949F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На 01.01.2024 в районе 411 субъектов малого и среднего предпринимательства, состоящих в реестре субъектов малого и среднего предпринимательства (102% к соответствующему периоду прошлого года), в том числе: 322 индивидуальных предпринимателя (104,5 % к 2024 году), 89 юридических лиц (93,7% к 2024 году). 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Количество плательщиков НПД на 01.04.2025 составило 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1256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 (1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51</w:t>
      </w:r>
      <w:r w:rsidRPr="009949F6">
        <w:rPr>
          <w:rFonts w:ascii="Arial" w:hAnsi="Arial" w:cs="Arial"/>
          <w:color w:val="000000"/>
          <w:sz w:val="26"/>
          <w:szCs w:val="26"/>
        </w:rPr>
        <w:t>,</w:t>
      </w:r>
      <w:r w:rsidR="009949F6" w:rsidRPr="009949F6">
        <w:rPr>
          <w:rFonts w:ascii="Arial" w:hAnsi="Arial" w:cs="Arial"/>
          <w:color w:val="000000"/>
          <w:sz w:val="26"/>
          <w:szCs w:val="26"/>
        </w:rPr>
        <w:t>3</w:t>
      </w:r>
      <w:r w:rsidRPr="009949F6">
        <w:rPr>
          <w:rFonts w:ascii="Arial" w:hAnsi="Arial" w:cs="Arial"/>
          <w:color w:val="000000"/>
          <w:sz w:val="26"/>
          <w:szCs w:val="26"/>
        </w:rPr>
        <w:t xml:space="preserve"> % к соответствующему периоду прошлого года).</w:t>
      </w:r>
    </w:p>
    <w:p w:rsidR="00DA0A96" w:rsidRDefault="009949F6" w:rsidP="009949F6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9949F6">
        <w:rPr>
          <w:rFonts w:ascii="Arial" w:hAnsi="Arial" w:cs="Arial"/>
          <w:color w:val="000000"/>
          <w:sz w:val="26"/>
          <w:szCs w:val="26"/>
        </w:rPr>
        <w:t xml:space="preserve">Распоряжением Главы </w:t>
      </w:r>
      <w:proofErr w:type="spellStart"/>
      <w:r w:rsidRPr="009949F6"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 w:rsidRPr="009949F6">
        <w:rPr>
          <w:rFonts w:ascii="Arial" w:hAnsi="Arial" w:cs="Arial"/>
          <w:color w:val="000000"/>
          <w:sz w:val="26"/>
          <w:szCs w:val="26"/>
        </w:rPr>
        <w:t xml:space="preserve"> муниципального района от 24.12.2008 № 2226-р (с изменениями и дополнениями) утвержден перечень муниципального имущества, предоставляемого субъектам малого и среднего бизнеса. В указанный перечень включены  26 объектов недвижимости, из них: 9 зданий и помещений общей площадью  7 476,4 </w:t>
      </w:r>
      <w:proofErr w:type="spellStart"/>
      <w:r w:rsidRPr="009949F6">
        <w:rPr>
          <w:rFonts w:ascii="Arial" w:hAnsi="Arial" w:cs="Arial"/>
          <w:color w:val="000000"/>
          <w:sz w:val="26"/>
          <w:szCs w:val="26"/>
        </w:rPr>
        <w:t>кв.м</w:t>
      </w:r>
      <w:proofErr w:type="spellEnd"/>
      <w:r w:rsidRPr="009949F6">
        <w:rPr>
          <w:rFonts w:ascii="Arial" w:hAnsi="Arial" w:cs="Arial"/>
          <w:color w:val="000000"/>
          <w:sz w:val="26"/>
          <w:szCs w:val="26"/>
        </w:rPr>
        <w:t>., 1 сооружение и 16 земельных участков, а также 45 объектов движимого имущества. Арендаторами в основном являются субъекты малого и среднего предпринимательства, занимающиеся сельскохозяйственной деятельностью. Субъекты малого и среднего предпринимательства, которые осуществляют социально значимые и приоритетные виды деятельности, предоставляется льгота по арендной плате, в виде коэффициента 0,25, корректирующего рыночную величину месячной арендной платы.</w:t>
      </w:r>
    </w:p>
    <w:p w:rsidR="009949F6" w:rsidRDefault="009949F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Потребительский рынок</w:t>
      </w:r>
    </w:p>
    <w:p w:rsidR="00DA0A96" w:rsidRDefault="00DA0A96">
      <w:pPr>
        <w:ind w:firstLine="567"/>
        <w:jc w:val="both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both"/>
        <w:rPr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территории района функционирует 153 объектов торговли и 48 объектов общественного питания. Бытовые услуги оказывали 57 субъектов малого бизнеса.</w:t>
      </w:r>
    </w:p>
    <w:p w:rsidR="00DA0A96" w:rsidRDefault="00362209">
      <w:pPr>
        <w:ind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Оборот малых предприятий за 1 квартал 2025 года составил 970,4 млн. руб., что на 8% больше, чем в 2024 году (898,7 млн. руб.). Торговая площадь составила 17 476 </w:t>
      </w:r>
      <w:proofErr w:type="spellStart"/>
      <w:r>
        <w:rPr>
          <w:rFonts w:ascii="Arial" w:hAnsi="Arial" w:cs="Arial"/>
          <w:sz w:val="26"/>
          <w:szCs w:val="26"/>
        </w:rPr>
        <w:t>кв.м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:rsidR="00DA0A96" w:rsidRDefault="00DA0A96">
      <w:pPr>
        <w:ind w:firstLine="567"/>
        <w:jc w:val="center"/>
        <w:rPr>
          <w:rFonts w:ascii="Arial" w:eastAsia="Arial" w:hAnsi="Arial" w:cs="Arial"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Жилищно-коммунальное хозяйство</w:t>
      </w:r>
    </w:p>
    <w:p w:rsidR="00DA0A96" w:rsidRDefault="00DA0A9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 январь-март 2025 года фактические платежи населения за жилищно-коммунальные услуги (от начисленных сумм) составили 97%.</w:t>
      </w:r>
    </w:p>
    <w:p w:rsidR="00DA0A96" w:rsidRDefault="00362209">
      <w:pPr>
        <w:spacing w:after="120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За январь-март 2025 год 103 семьи получали субсидии на оплату жилищно-коммунальных услуг. Сумма начисленных субсидий составила 639,2 тысяч рублей, 75,5% к уровню прошлого года. Количество получателей льгот — 2 658 человека, сумма предоставленных льгот увеличилась на 8,2 % и составила 23 326,9 тысяч рублей.</w:t>
      </w:r>
    </w:p>
    <w:p w:rsidR="00DA0A96" w:rsidRDefault="00362209">
      <w:pPr>
        <w:spacing w:after="120"/>
        <w:ind w:firstLine="567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Расходы на жилищно-коммунальное хозяйство за отчетный период составили 165 062,50 тысяч рублей, что составляет 103,2% к соответствующему периоду прошлого года.</w:t>
      </w:r>
    </w:p>
    <w:p w:rsidR="00DA0A96" w:rsidRDefault="00362209">
      <w:pPr>
        <w:spacing w:after="120"/>
        <w:ind w:firstLine="567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 состоянию на 01.04.2025 года дебиторская задолженность предприятий ЖКХ составила 69 954,4 тысяч рублей или 92,6% к аналогичному периоду прошлого года.</w:t>
      </w:r>
    </w:p>
    <w:p w:rsidR="00DA0A96" w:rsidRDefault="00362209">
      <w:pPr>
        <w:spacing w:after="120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highlight w:val="white"/>
        </w:rPr>
        <w:t>Кредиторская задолженность по состоянию на 01.04.2025 года составляет 59 972,3 тысяч рублей.</w:t>
      </w:r>
    </w:p>
    <w:p w:rsidR="00DA0A96" w:rsidRDefault="00362209">
      <w:pPr>
        <w:spacing w:after="120"/>
        <w:ind w:firstLine="567"/>
        <w:jc w:val="both"/>
        <w:rPr>
          <w:rFonts w:ascii="Arial" w:hAnsi="Arial" w:cs="Arial"/>
          <w:b/>
          <w:sz w:val="26"/>
          <w:szCs w:val="26"/>
          <w:highlight w:val="white"/>
        </w:rPr>
      </w:pPr>
      <w:r>
        <w:rPr>
          <w:rFonts w:ascii="Arial" w:hAnsi="Arial" w:cs="Arial"/>
          <w:color w:val="000000"/>
          <w:sz w:val="26"/>
          <w:szCs w:val="26"/>
          <w:highlight w:val="white"/>
        </w:rPr>
        <w:t>Из общего объема кредиторской задолженности – 86,5% или 51 900,4 тысяч рублей составляет задолженность за топливно-энергетические ресурсы.</w:t>
      </w: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Социальная сфера, уровень жизни населения</w:t>
      </w:r>
    </w:p>
    <w:p w:rsidR="00DA0A96" w:rsidRDefault="00DA0A96">
      <w:pPr>
        <w:ind w:firstLine="567"/>
        <w:jc w:val="both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социальной сфере района сложилась стабильная ситуация: функционируют учреждения образования, здравоохранения, социальной защиты, спорта и культуры.  </w:t>
      </w:r>
    </w:p>
    <w:p w:rsidR="009039FA" w:rsidRPr="009039FA" w:rsidRDefault="00362209" w:rsidP="009039FA">
      <w:pPr>
        <w:ind w:firstLine="567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Среднемесячная заработная плата одного работника по району (без субъектов малого предпринимательства) на 01.0</w:t>
      </w:r>
      <w:r w:rsidR="009039FA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>.2025 год составила 12</w:t>
      </w:r>
      <w:r w:rsidR="009039FA">
        <w:rPr>
          <w:rFonts w:ascii="Arial" w:hAnsi="Arial" w:cs="Arial"/>
          <w:sz w:val="26"/>
          <w:szCs w:val="26"/>
        </w:rPr>
        <w:t>3 702,1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рублей</w:t>
      </w:r>
      <w:r w:rsidR="009039FA">
        <w:rPr>
          <w:rFonts w:ascii="Arial" w:hAnsi="Arial" w:cs="Arial"/>
          <w:color w:val="000000"/>
          <w:sz w:val="26"/>
          <w:szCs w:val="26"/>
        </w:rPr>
        <w:t xml:space="preserve"> (99,6%</w:t>
      </w:r>
      <w:r>
        <w:rPr>
          <w:rFonts w:ascii="Arial" w:hAnsi="Arial" w:cs="Arial"/>
          <w:color w:val="000000"/>
          <w:sz w:val="26"/>
          <w:szCs w:val="26"/>
        </w:rPr>
        <w:t xml:space="preserve"> к соответствующему уровню предыдущего года</w:t>
      </w:r>
      <w:r w:rsidR="009039FA">
        <w:rPr>
          <w:rFonts w:ascii="Arial" w:hAnsi="Arial" w:cs="Arial"/>
          <w:color w:val="000000"/>
          <w:sz w:val="26"/>
          <w:szCs w:val="26"/>
        </w:rPr>
        <w:t>).</w:t>
      </w:r>
      <w:r>
        <w:rPr>
          <w:rFonts w:ascii="Arial" w:hAnsi="Arial" w:cs="Arial"/>
          <w:color w:val="FF3333"/>
          <w:sz w:val="26"/>
          <w:szCs w:val="26"/>
        </w:rPr>
        <w:t xml:space="preserve"> </w:t>
      </w:r>
      <w:r w:rsidR="009039FA">
        <w:rPr>
          <w:rFonts w:ascii="Arial" w:hAnsi="Arial" w:cs="Arial"/>
          <w:color w:val="000000"/>
          <w:sz w:val="26"/>
          <w:szCs w:val="26"/>
          <w:lang w:eastAsia="ru-RU"/>
        </w:rPr>
        <w:t>П</w:t>
      </w:r>
      <w:r w:rsidR="009039FA" w:rsidRPr="009039FA">
        <w:rPr>
          <w:rFonts w:ascii="Arial" w:hAnsi="Arial" w:cs="Arial"/>
          <w:color w:val="000000"/>
          <w:sz w:val="26"/>
          <w:szCs w:val="26"/>
          <w:lang w:eastAsia="ru-RU"/>
        </w:rPr>
        <w:t xml:space="preserve">о итогам </w:t>
      </w:r>
      <w:r w:rsidR="009039FA">
        <w:rPr>
          <w:rFonts w:ascii="Arial" w:hAnsi="Arial" w:cs="Arial"/>
          <w:color w:val="000000"/>
          <w:sz w:val="26"/>
          <w:szCs w:val="26"/>
          <w:lang w:eastAsia="ru-RU"/>
        </w:rPr>
        <w:t xml:space="preserve">1 квартала </w:t>
      </w:r>
      <w:r w:rsidR="009039FA" w:rsidRPr="009039FA">
        <w:rPr>
          <w:rFonts w:ascii="Arial" w:hAnsi="Arial" w:cs="Arial"/>
          <w:color w:val="000000"/>
          <w:sz w:val="26"/>
          <w:szCs w:val="26"/>
          <w:lang w:eastAsia="ru-RU"/>
        </w:rPr>
        <w:t>202</w:t>
      </w:r>
      <w:r w:rsidR="009039FA">
        <w:rPr>
          <w:rFonts w:ascii="Arial" w:hAnsi="Arial" w:cs="Arial"/>
          <w:color w:val="000000"/>
          <w:sz w:val="26"/>
          <w:szCs w:val="26"/>
          <w:lang w:eastAsia="ru-RU"/>
        </w:rPr>
        <w:t>5</w:t>
      </w:r>
      <w:r w:rsidR="009039FA" w:rsidRPr="009039FA">
        <w:rPr>
          <w:rFonts w:ascii="Arial" w:hAnsi="Arial" w:cs="Arial"/>
          <w:color w:val="000000"/>
          <w:sz w:val="26"/>
          <w:szCs w:val="26"/>
          <w:lang w:eastAsia="ru-RU"/>
        </w:rPr>
        <w:t xml:space="preserve"> года наблюдается снижение </w:t>
      </w:r>
      <w:r w:rsidR="009039FA">
        <w:rPr>
          <w:rFonts w:ascii="Arial" w:hAnsi="Arial" w:cs="Arial"/>
          <w:sz w:val="26"/>
          <w:szCs w:val="26"/>
        </w:rPr>
        <w:t xml:space="preserve">среднемесячной </w:t>
      </w:r>
      <w:r w:rsidR="009039FA" w:rsidRPr="009039FA">
        <w:rPr>
          <w:rFonts w:ascii="Arial" w:hAnsi="Arial" w:cs="Arial"/>
          <w:color w:val="000000"/>
          <w:sz w:val="26"/>
          <w:szCs w:val="26"/>
          <w:lang w:eastAsia="ru-RU"/>
        </w:rPr>
        <w:t>заработной платы по виду деятельности:</w:t>
      </w:r>
    </w:p>
    <w:p w:rsidR="009039FA" w:rsidRPr="009039FA" w:rsidRDefault="009039FA" w:rsidP="009039FA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9039FA">
        <w:rPr>
          <w:rFonts w:ascii="Arial" w:hAnsi="Arial" w:cs="Arial"/>
          <w:sz w:val="26"/>
          <w:szCs w:val="26"/>
        </w:rPr>
        <w:t>деятельность профессиональная, научная и техническая (98,3%);</w:t>
      </w:r>
    </w:p>
    <w:p w:rsidR="009039FA" w:rsidRPr="009039FA" w:rsidRDefault="009039FA" w:rsidP="009039FA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9039FA">
        <w:rPr>
          <w:rFonts w:ascii="Arial" w:hAnsi="Arial" w:cs="Arial"/>
          <w:sz w:val="26"/>
          <w:szCs w:val="26"/>
        </w:rPr>
        <w:t>добыча полезных ископаемых (88,8%);</w:t>
      </w:r>
    </w:p>
    <w:p w:rsidR="009039FA" w:rsidRPr="009039FA" w:rsidRDefault="009039FA" w:rsidP="009039FA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9039FA">
        <w:rPr>
          <w:rFonts w:ascii="Arial" w:hAnsi="Arial" w:cs="Arial"/>
          <w:sz w:val="26"/>
          <w:szCs w:val="26"/>
        </w:rPr>
        <w:t>строительство (64</w:t>
      </w:r>
      <w:r>
        <w:rPr>
          <w:rFonts w:ascii="Arial" w:hAnsi="Arial" w:cs="Arial"/>
          <w:sz w:val="26"/>
          <w:szCs w:val="26"/>
        </w:rPr>
        <w:t>%).</w:t>
      </w:r>
    </w:p>
    <w:p w:rsidR="009949F6" w:rsidRPr="003242D8" w:rsidRDefault="009949F6" w:rsidP="009949F6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 xml:space="preserve">Наиболее высокие темпы роста заработной платы за </w:t>
      </w:r>
      <w:r w:rsidR="003242D8" w:rsidRPr="003242D8">
        <w:rPr>
          <w:rFonts w:ascii="Arial" w:hAnsi="Arial" w:cs="Arial"/>
          <w:sz w:val="26"/>
          <w:szCs w:val="26"/>
        </w:rPr>
        <w:t>3</w:t>
      </w:r>
      <w:r w:rsidRPr="003242D8">
        <w:rPr>
          <w:rFonts w:ascii="Arial" w:hAnsi="Arial" w:cs="Arial"/>
          <w:sz w:val="26"/>
          <w:szCs w:val="26"/>
        </w:rPr>
        <w:t xml:space="preserve"> месяц</w:t>
      </w:r>
      <w:r w:rsidR="003242D8" w:rsidRPr="003242D8">
        <w:rPr>
          <w:rFonts w:ascii="Arial" w:hAnsi="Arial" w:cs="Arial"/>
          <w:sz w:val="26"/>
          <w:szCs w:val="26"/>
        </w:rPr>
        <w:t>а</w:t>
      </w:r>
      <w:r w:rsidRPr="003242D8">
        <w:rPr>
          <w:rFonts w:ascii="Arial" w:hAnsi="Arial" w:cs="Arial"/>
          <w:sz w:val="26"/>
          <w:szCs w:val="26"/>
        </w:rPr>
        <w:t xml:space="preserve"> 202</w:t>
      </w:r>
      <w:r w:rsidR="003242D8" w:rsidRPr="003242D8">
        <w:rPr>
          <w:rFonts w:ascii="Arial" w:hAnsi="Arial" w:cs="Arial"/>
          <w:sz w:val="26"/>
          <w:szCs w:val="26"/>
        </w:rPr>
        <w:t>5</w:t>
      </w:r>
      <w:r w:rsidRPr="003242D8">
        <w:rPr>
          <w:rFonts w:ascii="Arial" w:hAnsi="Arial" w:cs="Arial"/>
          <w:sz w:val="26"/>
          <w:szCs w:val="26"/>
        </w:rPr>
        <w:t xml:space="preserve"> года отмечались: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гостиниц и предприятий общественного питания (141,6%);</w:t>
      </w:r>
    </w:p>
    <w:p w:rsidR="003242D8" w:rsidRPr="003242D8" w:rsidRDefault="003242D8" w:rsidP="009949F6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административная и сопутствующие дополнительные услуги (136,2%);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в области здравоохранения и социальных услуг (123,7%);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образование (119,4%);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водоснабжение; водоотведение, организация сбора и утилизации отходов, деятельность по ликвидации загрязнений (117,8%);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обеспечение электрической энергией, газом и паром; кондиционирование воздуха (116,1%);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в области культуры, спорта, организации досуга и развлечений (114,1%);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государственное управление и обеспечение военной безопасности; социальное обеспечение (113,6%);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обрабатывающие производства (113,6%);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в области информации и связи (113,3%);</w:t>
      </w:r>
    </w:p>
    <w:p w:rsidR="003242D8" w:rsidRPr="003242D8" w:rsidRDefault="003242D8" w:rsidP="003242D8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деятельность финансовая и страховая (112,5</w:t>
      </w:r>
      <w:r w:rsidR="009039FA">
        <w:rPr>
          <w:rFonts w:ascii="Arial" w:hAnsi="Arial" w:cs="Arial"/>
          <w:sz w:val="26"/>
          <w:szCs w:val="26"/>
        </w:rPr>
        <w:t>%);</w:t>
      </w:r>
    </w:p>
    <w:p w:rsidR="009039FA" w:rsidRDefault="003242D8" w:rsidP="009039FA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3242D8">
        <w:rPr>
          <w:rFonts w:ascii="Arial" w:hAnsi="Arial" w:cs="Arial"/>
          <w:sz w:val="26"/>
          <w:szCs w:val="26"/>
        </w:rPr>
        <w:t>сельское, лесное хозяйство, охота, рыболовство и рыбоводство (107,5%).</w:t>
      </w:r>
    </w:p>
    <w:p w:rsidR="00DA0A96" w:rsidRDefault="00362209">
      <w:pPr>
        <w:ind w:firstLine="567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Среднесписочная численность работающих на 01.0</w:t>
      </w:r>
      <w:r w:rsidR="009039FA">
        <w:rPr>
          <w:rFonts w:ascii="Arial" w:hAnsi="Arial" w:cs="Arial"/>
          <w:color w:val="000000"/>
          <w:sz w:val="26"/>
          <w:szCs w:val="26"/>
        </w:rPr>
        <w:t>4</w:t>
      </w:r>
      <w:r>
        <w:rPr>
          <w:rFonts w:ascii="Arial" w:hAnsi="Arial" w:cs="Arial"/>
          <w:color w:val="000000"/>
          <w:sz w:val="26"/>
          <w:szCs w:val="26"/>
        </w:rPr>
        <w:t xml:space="preserve">.2025 года составила 10 </w:t>
      </w:r>
      <w:r w:rsidR="009039FA">
        <w:rPr>
          <w:rFonts w:ascii="Arial" w:hAnsi="Arial" w:cs="Arial"/>
          <w:color w:val="000000"/>
          <w:sz w:val="26"/>
          <w:szCs w:val="26"/>
        </w:rPr>
        <w:t>650</w:t>
      </w:r>
      <w:r>
        <w:rPr>
          <w:rFonts w:ascii="Arial" w:hAnsi="Arial" w:cs="Arial"/>
          <w:color w:val="000000"/>
          <w:sz w:val="26"/>
          <w:szCs w:val="26"/>
        </w:rPr>
        <w:t xml:space="preserve"> человек – 9</w:t>
      </w:r>
      <w:r w:rsidR="009039FA">
        <w:rPr>
          <w:rFonts w:ascii="Arial" w:hAnsi="Arial" w:cs="Arial"/>
          <w:color w:val="000000"/>
          <w:sz w:val="26"/>
          <w:szCs w:val="26"/>
        </w:rPr>
        <w:t>9</w:t>
      </w:r>
      <w:r>
        <w:rPr>
          <w:rFonts w:ascii="Arial" w:hAnsi="Arial" w:cs="Arial"/>
          <w:color w:val="000000"/>
          <w:sz w:val="26"/>
          <w:szCs w:val="26"/>
        </w:rPr>
        <w:t>,</w:t>
      </w:r>
      <w:r w:rsidR="009039FA">
        <w:rPr>
          <w:rFonts w:ascii="Arial" w:hAnsi="Arial" w:cs="Arial"/>
          <w:color w:val="000000"/>
          <w:sz w:val="26"/>
          <w:szCs w:val="26"/>
        </w:rPr>
        <w:t>1</w:t>
      </w:r>
      <w:r>
        <w:rPr>
          <w:rFonts w:ascii="Arial" w:hAnsi="Arial" w:cs="Arial"/>
          <w:color w:val="000000"/>
          <w:sz w:val="26"/>
          <w:szCs w:val="26"/>
        </w:rPr>
        <w:t xml:space="preserve"> % к соответствующему периоду 2024 году. </w:t>
      </w:r>
    </w:p>
    <w:p w:rsidR="00DA0A96" w:rsidRDefault="00362209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lastRenderedPageBreak/>
        <w:t xml:space="preserve"> На конец марта 2025 года количество официально зарегистрированных безработных составило 28 человека, что на 2 человека больше соответствующего периода предыдущего года. </w:t>
      </w:r>
      <w:r>
        <w:rPr>
          <w:rFonts w:ascii="Arial" w:hAnsi="Arial" w:cs="Arial"/>
          <w:sz w:val="26"/>
          <w:szCs w:val="26"/>
        </w:rPr>
        <w:t xml:space="preserve">Уровень регистрируемой безработицы на 01.04.2025 года по данным Центра занятости населения составил </w:t>
      </w:r>
      <w:r>
        <w:rPr>
          <w:rFonts w:ascii="Arial" w:hAnsi="Arial" w:cs="Arial"/>
          <w:color w:val="000000"/>
          <w:sz w:val="26"/>
          <w:szCs w:val="26"/>
        </w:rPr>
        <w:t>0,21</w:t>
      </w:r>
      <w:r>
        <w:rPr>
          <w:rFonts w:ascii="Arial" w:hAnsi="Arial" w:cs="Arial"/>
          <w:sz w:val="26"/>
          <w:szCs w:val="26"/>
        </w:rPr>
        <w:t xml:space="preserve"> %. </w:t>
      </w:r>
    </w:p>
    <w:p w:rsidR="00DA0A96" w:rsidRDefault="00DA0A96">
      <w:pPr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Финансы</w:t>
      </w:r>
    </w:p>
    <w:p w:rsidR="00DA0A96" w:rsidRDefault="00DA0A96">
      <w:pPr>
        <w:ind w:firstLine="567"/>
        <w:contextualSpacing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 xml:space="preserve">План по доходам консолидированного бюджета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на 01.04.2025 года составляет 2 954 032,0 тыс. руб., в том числе: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собственные - 1 056 154,6 тыс. руб.,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средства, полученные из областного бюджета - 1 897 877,4 тыс. руб.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Поступило доходов всего — 369 207,9 тыс. руб., в том числе: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собственные - 182 698,9 тыс. руб.,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средства, полученные из областного бюджета - 186 509,0 тыс. руб.</w:t>
      </w:r>
    </w:p>
    <w:p w:rsidR="00DA0A96" w:rsidRDefault="00362209">
      <w:pPr>
        <w:ind w:firstLine="567"/>
        <w:contextualSpacing/>
        <w:jc w:val="both"/>
      </w:pPr>
      <w:r>
        <w:rPr>
          <w:rFonts w:ascii="Arial" w:hAnsi="Arial" w:cs="Arial"/>
          <w:sz w:val="26"/>
          <w:szCs w:val="26"/>
        </w:rPr>
        <w:t>План расходной части бюджета по состоянию на 01.04.2025 года - 3 150 518,5 тыс. руб., фактически исполнено - 582 599,9 тыс. руб. Исполнение плана составляет 18,5%.</w:t>
      </w:r>
    </w:p>
    <w:p w:rsidR="00DA0A96" w:rsidRDefault="00DA0A96">
      <w:pPr>
        <w:ind w:firstLine="567"/>
        <w:jc w:val="center"/>
        <w:rPr>
          <w:rFonts w:ascii="Arial" w:hAnsi="Arial" w:cs="Arial"/>
          <w:b/>
          <w:bCs/>
          <w:sz w:val="26"/>
          <w:szCs w:val="26"/>
        </w:rPr>
      </w:pPr>
    </w:p>
    <w:p w:rsidR="00DA0A96" w:rsidRDefault="00362209">
      <w:pPr>
        <w:ind w:firstLine="567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Безопасность</w:t>
      </w:r>
    </w:p>
    <w:p w:rsidR="00DA0A96" w:rsidRDefault="00DA0A96">
      <w:pPr>
        <w:ind w:firstLine="567"/>
        <w:jc w:val="center"/>
        <w:rPr>
          <w:rFonts w:ascii="Arial" w:hAnsi="Arial" w:cs="Arial"/>
          <w:b/>
          <w:bCs/>
          <w:sz w:val="26"/>
          <w:szCs w:val="26"/>
        </w:rPr>
      </w:pP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 январь-март 2025 года зарегистрировано 66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преступлений 100% к аналогичному </w:t>
      </w:r>
      <w:r>
        <w:rPr>
          <w:rFonts w:ascii="Arial" w:hAnsi="Arial" w:cs="Arial"/>
          <w:color w:val="000000"/>
          <w:sz w:val="26"/>
          <w:szCs w:val="26"/>
        </w:rPr>
        <w:t xml:space="preserve">периоду 2024 года. </w:t>
      </w:r>
      <w:r>
        <w:rPr>
          <w:rFonts w:ascii="Arial" w:hAnsi="Arial" w:cs="Arial"/>
          <w:sz w:val="26"/>
          <w:szCs w:val="26"/>
        </w:rPr>
        <w:t>Смертность населения (6 человек) в результате дорожно-транспортных происшествий на уровне соответствующего периода предыдущего года.</w:t>
      </w:r>
    </w:p>
    <w:p w:rsidR="00DA0A96" w:rsidRDefault="00362209">
      <w:pPr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За январь-март 2025 года органами внутренних дел раскрыто 31 преступление, что составило 63% к уровню соответствующего периода предыдущего года.</w:t>
      </w:r>
    </w:p>
    <w:p w:rsidR="00DA0A96" w:rsidRDefault="00362209">
      <w:pPr>
        <w:ind w:firstLine="567"/>
        <w:jc w:val="both"/>
        <w:rPr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Количество приостановленных уголовных дел за этот период составило 22 (169% к аналогичному периоду предыдущего года).</w:t>
      </w:r>
    </w:p>
    <w:sectPr w:rsidR="00DA0A9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E0" w:rsidRDefault="00B330E0">
      <w:r>
        <w:separator/>
      </w:r>
    </w:p>
  </w:endnote>
  <w:endnote w:type="continuationSeparator" w:id="0">
    <w:p w:rsidR="00B330E0" w:rsidRDefault="00B3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96" w:rsidRDefault="00DA0A9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96" w:rsidRDefault="00DA0A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E0" w:rsidRDefault="00B330E0">
      <w:r>
        <w:separator/>
      </w:r>
    </w:p>
  </w:footnote>
  <w:footnote w:type="continuationSeparator" w:id="0">
    <w:p w:rsidR="00B330E0" w:rsidRDefault="00B33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96" w:rsidRDefault="00DA0A9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96" w:rsidRDefault="00DA0A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F7E29"/>
    <w:multiLevelType w:val="hybridMultilevel"/>
    <w:tmpl w:val="6AC451C2"/>
    <w:lvl w:ilvl="0" w:tplc="D70C8DB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1F8A312C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C02C0F8A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C58809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B0E626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7122BA9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EB8AC838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806E8E34">
      <w:start w:val="1"/>
      <w:numFmt w:val="decimal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098C8AD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A96"/>
    <w:rsid w:val="002F592B"/>
    <w:rsid w:val="003242D8"/>
    <w:rsid w:val="00362209"/>
    <w:rsid w:val="009039FA"/>
    <w:rsid w:val="009949F6"/>
    <w:rsid w:val="00B330E0"/>
    <w:rsid w:val="00B65C3E"/>
    <w:rsid w:val="00D63595"/>
    <w:rsid w:val="00DA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pPr>
      <w:keepNext/>
      <w:numPr>
        <w:ilvl w:val="7"/>
        <w:numId w:val="1"/>
      </w:numPr>
      <w:outlineLvl w:val="7"/>
    </w:pPr>
    <w:rPr>
      <w:b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rPr>
      <w:lang w:eastAsia="zh-CN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f8">
    <w:name w:val="Текст выноски Знак"/>
    <w:rPr>
      <w:rFonts w:ascii="Tahoma" w:hAnsi="Tahoma" w:cs="Tahoma"/>
      <w:sz w:val="16"/>
      <w:szCs w:val="16"/>
    </w:rPr>
  </w:style>
  <w:style w:type="character" w:customStyle="1" w:styleId="82">
    <w:name w:val="Заголовок 8 Знак"/>
    <w:rPr>
      <w:b/>
      <w:sz w:val="24"/>
    </w:rPr>
  </w:style>
  <w:style w:type="character" w:customStyle="1" w:styleId="af9">
    <w:name w:val="Верхний колонтитул Знак"/>
    <w:basedOn w:val="14"/>
  </w:style>
  <w:style w:type="character" w:customStyle="1" w:styleId="afa">
    <w:name w:val="Нижний колонтитул Знак"/>
    <w:basedOn w:val="14"/>
  </w:style>
  <w:style w:type="paragraph" w:customStyle="1" w:styleId="afb">
    <w:name w:val="Заголовок"/>
    <w:basedOn w:val="a"/>
    <w:next w:val="afc"/>
    <w:pPr>
      <w:jc w:val="center"/>
    </w:pPr>
    <w:rPr>
      <w:b/>
      <w:sz w:val="28"/>
    </w:rPr>
  </w:style>
  <w:style w:type="paragraph" w:styleId="afc">
    <w:name w:val="Body Text"/>
    <w:basedOn w:val="a"/>
    <w:pPr>
      <w:jc w:val="both"/>
    </w:pPr>
    <w:rPr>
      <w:sz w:val="24"/>
    </w:rPr>
  </w:style>
  <w:style w:type="paragraph" w:styleId="afd">
    <w:name w:val="List"/>
    <w:basedOn w:val="afc"/>
    <w:rPr>
      <w:rFonts w:cs="Mangal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e">
    <w:name w:val="Normal (Web)"/>
    <w:basedOn w:val="a"/>
    <w:pPr>
      <w:spacing w:before="120" w:after="24"/>
      <w:jc w:val="both"/>
    </w:pPr>
    <w:rPr>
      <w:sz w:val="24"/>
      <w:szCs w:val="24"/>
    </w:rPr>
  </w:style>
  <w:style w:type="paragraph" w:styleId="aff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210">
    <w:name w:val="Основной текст 21"/>
    <w:basedOn w:val="a"/>
    <w:rPr>
      <w:sz w:val="24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aff0">
    <w:name w:val="Знак Знак Знак Знак Знак Знак Знак Знак Знак Знак Знак Знак"/>
    <w:basedOn w:val="a"/>
    <w:pPr>
      <w:spacing w:after="60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aff1">
    <w:name w:val="Знак Знак Знак Знак Знак Знак Знак"/>
    <w:basedOn w:val="a"/>
    <w:pPr>
      <w:spacing w:after="60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aff2">
    <w:name w:val="Знак Знак Знак Знак Знак Знак Знак Знак Знак Знак"/>
    <w:basedOn w:val="a"/>
    <w:pPr>
      <w:spacing w:after="60"/>
      <w:ind w:firstLine="709"/>
      <w:jc w:val="both"/>
    </w:pPr>
    <w:rPr>
      <w:rFonts w:ascii="Arial" w:hAnsi="Arial" w:cs="Arial"/>
      <w:bCs/>
      <w:sz w:val="24"/>
      <w:szCs w:val="24"/>
    </w:rPr>
  </w:style>
  <w:style w:type="paragraph" w:styleId="af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4">
    <w:name w:val="Содержимое таблицы"/>
    <w:basedOn w:val="a"/>
    <w:pPr>
      <w:suppressLineNumbers/>
    </w:pPr>
  </w:style>
  <w:style w:type="paragraph" w:customStyle="1" w:styleId="aff5">
    <w:name w:val="Заголовок таблицы"/>
    <w:basedOn w:val="aff4"/>
    <w:pPr>
      <w:jc w:val="center"/>
    </w:pPr>
    <w:rPr>
      <w:b/>
      <w:bCs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в РОВД</vt:lpstr>
    </vt:vector>
  </TitlesOfParts>
  <Company>AdmUvat</Company>
  <LinksUpToDate>false</LinksUpToDate>
  <CharactersWithSpaces>10940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РОВД</dc:title>
  <dc:creator>Dolgushina</dc:creator>
  <cp:lastModifiedBy>ISOGD1</cp:lastModifiedBy>
  <cp:revision>45</cp:revision>
  <dcterms:created xsi:type="dcterms:W3CDTF">2015-12-29T05:05:00Z</dcterms:created>
  <dcterms:modified xsi:type="dcterms:W3CDTF">2025-07-11T07:34:00Z</dcterms:modified>
  <cp:version>983040</cp:version>
</cp:coreProperties>
</file>