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3" w:rsidRDefault="00F14333" w:rsidP="00F1433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F14333" w:rsidRDefault="00F14333" w:rsidP="00F143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F14333" w:rsidRDefault="00563ECA" w:rsidP="00F143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>УВАТСКОГО МУНИЦИПАЛЬНОГО РАЙОНА</w:t>
      </w:r>
      <w:bookmarkStart w:id="0" w:name="_GoBack"/>
      <w:bookmarkEnd w:id="0"/>
    </w:p>
    <w:p w:rsidR="00F14333" w:rsidRDefault="00F14333" w:rsidP="00F143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F14333" w:rsidRDefault="00F14333" w:rsidP="00F143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F14333" w:rsidRDefault="00F14333" w:rsidP="00F143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223"/>
        <w:gridCol w:w="2210"/>
      </w:tblGrid>
      <w:tr w:rsidR="00F14333" w:rsidTr="00F1433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keepNext/>
              <w:spacing w:line="276" w:lineRule="auto"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/п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keepNext/>
              <w:spacing w:line="276" w:lineRule="auto"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keepNext/>
              <w:spacing w:line="276" w:lineRule="auto"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F14333" w:rsidTr="00F1433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F14333" w:rsidRDefault="00F1433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F14333" w:rsidTr="00F1433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keepNext/>
              <w:numPr>
                <w:ilvl w:val="0"/>
                <w:numId w:val="1"/>
              </w:numPr>
              <w:spacing w:line="276" w:lineRule="auto"/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F14333" w:rsidRDefault="00F14333">
            <w:pPr>
              <w:shd w:val="clear" w:color="auto" w:fill="FFFFFF"/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hd w:val="clear" w:color="auto" w:fill="FFFFFF"/>
              <w:spacing w:line="276" w:lineRule="auto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F14333" w:rsidRDefault="00F1433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Телефон / факс </w:t>
            </w:r>
            <w:proofErr w:type="gramStart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(с указанием кода населенного пункта)</w:t>
            </w:r>
          </w:p>
          <w:p w:rsidR="00F14333" w:rsidRDefault="00F1433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lastRenderedPageBreak/>
              <w:t xml:space="preserve">Адрес электронной почты  </w:t>
            </w:r>
            <w:proofErr w:type="gramStart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F14333" w:rsidRDefault="00F1433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F14333" w:rsidRDefault="00F1433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keepNext/>
              <w:spacing w:line="276" w:lineRule="auto"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Адрес сайта ПО или раздела ПО на портале государственных органов, на  сайте муниципального образования в сети Интернет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2014 году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*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Перечень действующих нормативных правовых актов* по предметам исключительного ведения ПО, закрепленным в Федеральном законе «Об общих принципах организации местного самоуправления в Российской Федерации», в уставе муниципального образования (за исключением правовых актов о внесении изменений в действующие правовые акты).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 Указать наименование  правового акта и его реквизиты.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*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Формы обеспечения  взаимодействия ПО,  направленного на улучшение жизнеобеспечения и повышение качества жизни населения муниципального образования,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1 – местной администрацией,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– контрольно-счетным органом муниципального образования,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– органами прокуратуры,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– средствами массовой информации,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 – общественными объединениями,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lastRenderedPageBreak/>
              <w:t>6 – органами территориального общественного самоуправления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Организация планирования деятельности, выполнение планов работы в 2014 году: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 – ПО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Наличие правовой базы, регламентирующей организацию деятельности ПО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 правового акта, его реквизиты, реквизиты правовых актов, вносящих в него изменения)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– Регламент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– Положение о постоянных депутатских комиссиях,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– Положение о муниципальных правовых актах,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4 – Положения о фракциях политических партий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ПО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Инициаторы внесения проектов нормативных правовых актов ПО в 2014 году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цифру и количество)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5 – иные субъекты правотворческой инициативы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Мероприятия, проведенные ПО в 2014 году  в рамках реализации своих контрольных полномочий, определенных в уставе муниципального образования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направление, количество)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 xml:space="preserve">Мероприятия (депутатские слушания, круглые столы, дни депутата, семинары, спартакиады, конкурсы, олимпиады и др.), проведенные  ПО в 2014 году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количество, форму и тему)</w:t>
            </w:r>
            <w:proofErr w:type="gramEnd"/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 депутатов ПО в 2014 году в обучающих семинарах, курсах повышения квалификации по направлениям депутатской деятельности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– нет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когда, какие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Организация работы с избирателями в 2014 году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цифру и данные):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3 – периодичность отчетов депутатов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 – информация о проведенных депутатами приемах избирателей с указанием их количества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 в 2014 году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 в 2014 году, из них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Формы и способы информирования населения о деятельности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(перечислить </w:t>
            </w:r>
            <w:proofErr w:type="gramStart"/>
            <w:r>
              <w:rPr>
                <w:rFonts w:eastAsia="Times New Roman" w:cs="Arial"/>
                <w:i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указанием количественных характеристик за 2014 год, указанием информации о печатном и/или сетевом издании, где размещались публикации, мест и периодичности  размещения информации и т.д.).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количество специалистов,  отношение  к муниципальной службе.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lastRenderedPageBreak/>
              <w:t>отношение к муниципальной службе.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 в 2014 году: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1. законопроектов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в 2014 году нормативных правовых актов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цифру и количество):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</w:t>
            </w:r>
            <w:r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– в связи с вынесением решения суда.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Количество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которым в 2014 году протесты прокурора не удовлетворены, приняты судебные решения в пользу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участием депутатов в 2014 году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участием депутатов в 2014 году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lastRenderedPageBreak/>
              <w:t>- местные референдумы,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u w:val="single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Формы участия молодежи в деятельности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 w:cs="Arial"/>
                <w:i/>
                <w:szCs w:val="24"/>
                <w:lang w:eastAsia="ru-RU"/>
              </w:rPr>
              <w:t>краткая</w:t>
            </w:r>
            <w:proofErr w:type="gramEnd"/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характеристика каждой формы).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  <w:proofErr w:type="gramEnd"/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 –</w:t>
            </w:r>
            <w:r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наименование, реквизиты акта, виды поощрений ПО)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F14333" w:rsidTr="00F143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3" w:rsidRDefault="00F14333" w:rsidP="00B4771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33" w:rsidRDefault="00F14333">
            <w:pPr>
              <w:spacing w:line="276" w:lineRule="auto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F14333" w:rsidRDefault="00F14333" w:rsidP="00F14333"/>
    <w:p w:rsidR="001E5CBB" w:rsidRDefault="001E5CBB" w:rsidP="00F14333">
      <w:pPr>
        <w:ind w:left="-851"/>
      </w:pPr>
    </w:p>
    <w:sectPr w:rsidR="001E5CBB" w:rsidSect="00F1433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88D"/>
    <w:multiLevelType w:val="hybridMultilevel"/>
    <w:tmpl w:val="1512AF68"/>
    <w:lvl w:ilvl="0" w:tplc="5E0ED1F4">
      <w:start w:val="25"/>
      <w:numFmt w:val="decimal"/>
      <w:lvlText w:val="%1"/>
      <w:lvlJc w:val="center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25BF"/>
    <w:multiLevelType w:val="hybridMultilevel"/>
    <w:tmpl w:val="261448B6"/>
    <w:lvl w:ilvl="0" w:tplc="CF2664C2">
      <w:start w:val="1"/>
      <w:numFmt w:val="decimal"/>
      <w:lvlText w:val="%1"/>
      <w:lvlJc w:val="center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3"/>
    <w:rsid w:val="001E5CBB"/>
    <w:rsid w:val="00563ECA"/>
    <w:rsid w:val="00F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3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3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2014-11-19T04:37:00Z</dcterms:created>
  <dcterms:modified xsi:type="dcterms:W3CDTF">2014-11-19T04:42:00Z</dcterms:modified>
</cp:coreProperties>
</file>